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5715B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838835" cy="781685"/>
            <wp:effectExtent l="0" t="0" r="18415" b="1841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883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EC30D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7AEEE">
      <w:pPr>
        <w:pStyle w:val="2"/>
        <w:spacing w:before="282" w:line="194" w:lineRule="auto"/>
        <w:ind w:left="545"/>
        <w:rPr>
          <w:sz w:val="27"/>
          <w:szCs w:val="27"/>
        </w:rPr>
      </w:pPr>
      <w:r>
        <w:rPr>
          <w:b/>
          <w:bCs/>
          <w:sz w:val="27"/>
          <w:szCs w:val="27"/>
        </w:rPr>
        <w:t>BRCA</w:t>
      </w:r>
      <w:r>
        <w:rPr>
          <w:b/>
          <w:bCs/>
          <w:spacing w:val="6"/>
          <w:sz w:val="27"/>
          <w:szCs w:val="27"/>
        </w:rPr>
        <w:t>2 (2213-2543)</w:t>
      </w:r>
    </w:p>
    <w:p w14:paraId="308CF90C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26364-3</w:t>
      </w:r>
    </w:p>
    <w:p w14:paraId="44CECD4F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24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BRCA2, BRCC2, FAD1,FCD, BROVCA2, PNCA2</w:t>
      </w:r>
    </w:p>
    <w:p w14:paraId="4300330C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>Anti-BRCA2 (2213-2543) Mouse Mon</w:t>
      </w:r>
      <w:r>
        <w:rPr>
          <w:spacing w:val="-1"/>
        </w:rPr>
        <w:t>oclonal Antibody</w:t>
      </w:r>
    </w:p>
    <w:p w14:paraId="5B7B7568">
      <w:pPr>
        <w:spacing w:before="150"/>
      </w:pPr>
    </w:p>
    <w:p w14:paraId="122B420C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AF78542">
      <w:pPr>
        <w:pStyle w:val="2"/>
        <w:spacing w:before="39" w:line="193" w:lineRule="auto"/>
        <w:ind w:left="544"/>
      </w:pPr>
      <w:r>
        <w:rPr>
          <w:b/>
          <w:bCs/>
          <w:spacing w:val="-1"/>
        </w:rPr>
        <w:t xml:space="preserve">Background: </w:t>
      </w:r>
      <w:r>
        <w:rPr>
          <w:spacing w:val="-1"/>
        </w:rPr>
        <w:t>BRCA2 is a human tumor</w:t>
      </w:r>
    </w:p>
    <w:p w14:paraId="4588AE47">
      <w:pPr>
        <w:pStyle w:val="2"/>
        <w:spacing w:before="118" w:line="193" w:lineRule="auto"/>
        <w:ind w:left="550"/>
      </w:pPr>
      <w:r>
        <w:t>suppressor gene. Its</w:t>
      </w:r>
      <w:r>
        <w:rPr>
          <w:spacing w:val="-1"/>
        </w:rPr>
        <w:t xml:space="preserve"> protein,</w:t>
      </w:r>
      <w:r>
        <w:rPr>
          <w:spacing w:val="13"/>
          <w:w w:val="101"/>
        </w:rPr>
        <w:t xml:space="preserve"> </w:t>
      </w:r>
      <w:r>
        <w:rPr>
          <w:spacing w:val="-1"/>
        </w:rPr>
        <w:t>also called by</w:t>
      </w:r>
    </w:p>
    <w:p w14:paraId="3F8B8C56">
      <w:pPr>
        <w:pStyle w:val="2"/>
        <w:spacing w:before="36" w:line="317" w:lineRule="auto"/>
        <w:ind w:left="539" w:right="547" w:firstLine="2"/>
      </w:pPr>
      <w:r>
        <w:t xml:space="preserve">the </w:t>
      </w:r>
      <w:r>
        <w:fldChar w:fldCharType="begin"/>
      </w:r>
      <w:r>
        <w:instrText xml:space="preserve"> HYPERLINK "https://en.wikipedia.org/wiki/Synonym" </w:instrText>
      </w:r>
      <w:r>
        <w:fldChar w:fldCharType="separate"/>
      </w:r>
      <w:r>
        <w:t>synonym</w:t>
      </w:r>
      <w:r>
        <w:fldChar w:fldCharType="end"/>
      </w:r>
      <w:r>
        <w:t xml:space="preserve"> breast cancer type 2 suscept</w:t>
      </w:r>
      <w:r>
        <w:rPr>
          <w:spacing w:val="-1"/>
        </w:rPr>
        <w:t>ibility</w:t>
      </w:r>
      <w:r>
        <w:t xml:space="preserve"> protein, is responsible for repairin</w:t>
      </w:r>
      <w:r>
        <w:rPr>
          <w:spacing w:val="-1"/>
        </w:rPr>
        <w:t>g</w:t>
      </w:r>
      <w:r>
        <w:rPr>
          <w:spacing w:val="9"/>
        </w:rPr>
        <w:t xml:space="preserve"> </w:t>
      </w:r>
      <w:r>
        <w:rPr>
          <w:spacing w:val="-1"/>
        </w:rPr>
        <w:t>DNA.</w:t>
      </w:r>
    </w:p>
    <w:p w14:paraId="5ADBF012">
      <w:pPr>
        <w:pStyle w:val="2"/>
        <w:spacing w:before="68" w:line="310" w:lineRule="auto"/>
        <w:ind w:left="546" w:right="383" w:hanging="3"/>
      </w:pPr>
      <w:r>
        <w:t>Mutations of</w:t>
      </w:r>
      <w:r>
        <w:rPr>
          <w:spacing w:val="-8"/>
        </w:rPr>
        <w:t xml:space="preserve"> </w:t>
      </w:r>
      <w:r>
        <w:t>BRCA2 can cause an</w:t>
      </w:r>
      <w:r>
        <w:rPr>
          <w:spacing w:val="7"/>
        </w:rPr>
        <w:t xml:space="preserve"> </w:t>
      </w:r>
      <w:r>
        <w:t>increased risk of</w:t>
      </w:r>
      <w:r>
        <w:rPr>
          <w:spacing w:val="-19"/>
        </w:rPr>
        <w:t xml:space="preserve"> </w:t>
      </w:r>
      <w:r>
        <w:t>breast cancer. In addition to breast cancer</w:t>
      </w:r>
      <w:r>
        <w:rPr>
          <w:spacing w:val="-1"/>
        </w:rPr>
        <w:t xml:space="preserve"> in</w:t>
      </w:r>
    </w:p>
    <w:p w14:paraId="66FF570C">
      <w:pPr>
        <w:pStyle w:val="2"/>
        <w:spacing w:before="1" w:line="192" w:lineRule="auto"/>
        <w:ind w:left="541"/>
      </w:pPr>
      <w:r>
        <w:t xml:space="preserve">men and women, mutations </w:t>
      </w:r>
      <w:r>
        <w:rPr>
          <w:spacing w:val="-1"/>
        </w:rPr>
        <w:t>in BRCA2</w:t>
      </w:r>
      <w:r>
        <w:rPr>
          <w:spacing w:val="8"/>
        </w:rPr>
        <w:t xml:space="preserve"> </w:t>
      </w:r>
      <w:r>
        <w:rPr>
          <w:spacing w:val="-1"/>
        </w:rPr>
        <w:t>also</w:t>
      </w:r>
      <w:r>
        <w:rPr>
          <w:spacing w:val="6"/>
        </w:rPr>
        <w:t xml:space="preserve"> </w:t>
      </w:r>
      <w:r>
        <w:rPr>
          <w:spacing w:val="-1"/>
        </w:rPr>
        <w:t>lead</w:t>
      </w:r>
    </w:p>
    <w:p w14:paraId="4D167090">
      <w:pPr>
        <w:pStyle w:val="2"/>
        <w:spacing w:before="36" w:line="312" w:lineRule="exact"/>
        <w:ind w:left="542"/>
      </w:pPr>
      <w:r>
        <w:rPr>
          <w:position w:val="4"/>
        </w:rPr>
        <w:t>to</w:t>
      </w:r>
      <w:r>
        <w:rPr>
          <w:spacing w:val="2"/>
          <w:position w:val="4"/>
        </w:rPr>
        <w:t xml:space="preserve"> </w:t>
      </w:r>
      <w:r>
        <w:rPr>
          <w:position w:val="4"/>
        </w:rPr>
        <w:t>an</w:t>
      </w:r>
      <w:r>
        <w:rPr>
          <w:spacing w:val="2"/>
          <w:position w:val="4"/>
        </w:rPr>
        <w:t xml:space="preserve"> </w:t>
      </w:r>
      <w:r>
        <w:rPr>
          <w:position w:val="4"/>
        </w:rPr>
        <w:t>increased</w:t>
      </w:r>
      <w:r>
        <w:rPr>
          <w:spacing w:val="2"/>
          <w:position w:val="4"/>
        </w:rPr>
        <w:t xml:space="preserve"> </w:t>
      </w:r>
      <w:r>
        <w:rPr>
          <w:position w:val="4"/>
        </w:rPr>
        <w:t>risk</w:t>
      </w:r>
      <w:r>
        <w:rPr>
          <w:spacing w:val="2"/>
          <w:position w:val="4"/>
        </w:rPr>
        <w:t xml:space="preserve"> </w:t>
      </w:r>
      <w:r>
        <w:rPr>
          <w:position w:val="4"/>
        </w:rPr>
        <w:t>of</w:t>
      </w:r>
      <w:r>
        <w:rPr>
          <w:spacing w:val="-17"/>
          <w:position w:val="4"/>
        </w:rPr>
        <w:t xml:space="preserve"> </w:t>
      </w:r>
      <w:r>
        <w:fldChar w:fldCharType="begin"/>
      </w:r>
      <w:r>
        <w:instrText xml:space="preserve"> HYPERLINK "https://en.wikipedia.org/wiki/Ovarian_cancer" </w:instrText>
      </w:r>
      <w:r>
        <w:fldChar w:fldCharType="separate"/>
      </w:r>
      <w:r>
        <w:rPr>
          <w:position w:val="4"/>
        </w:rPr>
        <w:t>ovarian</w:t>
      </w:r>
      <w:r>
        <w:rPr>
          <w:position w:val="4"/>
        </w:rPr>
        <w:fldChar w:fldCharType="end"/>
      </w:r>
      <w:r>
        <w:rPr>
          <w:spacing w:val="2"/>
          <w:position w:val="4"/>
        </w:rPr>
        <w:t>,</w:t>
      </w: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rPr>
          <w:position w:val="4"/>
        </w:rPr>
        <w:t>Fallopian</w:t>
      </w:r>
      <w:r>
        <w:rPr>
          <w:position w:val="4"/>
        </w:rPr>
        <w:fldChar w:fldCharType="end"/>
      </w:r>
    </w:p>
    <w:p w14:paraId="4027B282">
      <w:pPr>
        <w:pStyle w:val="2"/>
        <w:spacing w:line="310" w:lineRule="auto"/>
        <w:ind w:left="547" w:right="695" w:hanging="5"/>
      </w:pPr>
      <w:r>
        <w:fldChar w:fldCharType="begin"/>
      </w:r>
      <w:r>
        <w:instrText xml:space="preserve"> HYPERLINK "https://en.wikipedia.org/wiki/Fallopian_tube" </w:instrText>
      </w:r>
      <w:r>
        <w:fldChar w:fldCharType="separate"/>
      </w:r>
      <w:r>
        <w:t>tube</w:t>
      </w:r>
      <w:r>
        <w:fldChar w:fldCharType="end"/>
      </w:r>
      <w:r>
        <w:t xml:space="preserve">, </w:t>
      </w:r>
      <w:r>
        <w:fldChar w:fldCharType="begin"/>
      </w:r>
      <w:r>
        <w:instrText xml:space="preserve"> HYPERLINK "https://en.wikipedia.org/wiki/Prostate_cancer" </w:instrText>
      </w:r>
      <w:r>
        <w:fldChar w:fldCharType="separate"/>
      </w:r>
      <w:r>
        <w:t>prostate</w:t>
      </w:r>
      <w:r>
        <w:fldChar w:fldCharType="end"/>
      </w:r>
      <w:r>
        <w:t xml:space="preserve">, and </w:t>
      </w:r>
      <w:r>
        <w:fldChar w:fldCharType="begin"/>
      </w:r>
      <w:r>
        <w:instrText xml:space="preserve"> HYPERLINK "https://en.wikipedia.org/wiki/Pancreatic_cancer" </w:instrText>
      </w:r>
      <w:r>
        <w:fldChar w:fldCharType="separate"/>
      </w:r>
      <w:r>
        <w:t>pancreatic cancers</w:t>
      </w:r>
      <w:r>
        <w:fldChar w:fldCharType="end"/>
      </w:r>
      <w:r>
        <w:t>,</w:t>
      </w:r>
      <w:r>
        <w:rPr>
          <w:spacing w:val="-1"/>
        </w:rPr>
        <w:t xml:space="preserve"> as well</w:t>
      </w:r>
      <w:r>
        <w:t xml:space="preserve"> </w:t>
      </w:r>
      <w:r>
        <w:rPr>
          <w:spacing w:val="-1"/>
        </w:rPr>
        <w:t xml:space="preserve">as </w:t>
      </w:r>
      <w:r>
        <w:fldChar w:fldCharType="begin"/>
      </w:r>
      <w:r>
        <w:instrText xml:space="preserve"> HYPERLINK "https://en.wikipedia.org/wiki/Malignant_melanoma" </w:instrText>
      </w:r>
      <w:r>
        <w:fldChar w:fldCharType="separate"/>
      </w:r>
      <w:r>
        <w:rPr>
          <w:spacing w:val="-1"/>
        </w:rPr>
        <w:t>malignant melanoma</w:t>
      </w:r>
      <w:r>
        <w:rPr>
          <w:spacing w:val="-1"/>
        </w:rPr>
        <w:fldChar w:fldCharType="end"/>
      </w:r>
      <w:r>
        <w:rPr>
          <w:spacing w:val="-27"/>
        </w:rPr>
        <w:t xml:space="preserve"> </w:t>
      </w:r>
      <w:r>
        <w:rPr>
          <w:spacing w:val="-1"/>
        </w:rPr>
        <w:t>.</w:t>
      </w:r>
    </w:p>
    <w:p w14:paraId="2516F17F">
      <w:pPr>
        <w:pStyle w:val="2"/>
        <w:spacing w:before="82" w:line="294" w:lineRule="auto"/>
        <w:ind w:left="539" w:right="803" w:firstLine="4"/>
      </w:pPr>
      <w:r>
        <w:rPr>
          <w:b/>
          <w:bCs/>
        </w:rPr>
        <w:t xml:space="preserve">Immunogen: </w:t>
      </w:r>
      <w:r>
        <w:t>Purified BRCA2 (2213-25</w:t>
      </w:r>
      <w:r>
        <w:rPr>
          <w:spacing w:val="-1"/>
        </w:rPr>
        <w:t>43)</w:t>
      </w:r>
      <w:r>
        <w:t xml:space="preserve"> protein, human origi</w:t>
      </w:r>
      <w:r>
        <w:rPr>
          <w:spacing w:val="-1"/>
        </w:rPr>
        <w:t>n.</w:t>
      </w:r>
    </w:p>
    <w:p w14:paraId="3D8EE672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470F0C50">
      <w:pPr>
        <w:pStyle w:val="2"/>
        <w:spacing w:before="39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023FCBC1">
      <w:pPr>
        <w:pStyle w:val="2"/>
        <w:spacing w:before="122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4249955F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5F741F44">
      <w:pPr>
        <w:pStyle w:val="2"/>
        <w:spacing w:before="118" w:line="193" w:lineRule="auto"/>
        <w:ind w:left="548"/>
      </w:pPr>
      <w:r>
        <w:rPr>
          <w:b/>
          <w:bCs/>
          <w:spacing w:val="-2"/>
        </w:rPr>
        <w:t>Concentration:</w:t>
      </w:r>
      <w:r>
        <w:rPr>
          <w:b/>
          <w:bCs/>
          <w:spacing w:val="27"/>
          <w:w w:val="101"/>
        </w:rPr>
        <w:t xml:space="preserve"> </w:t>
      </w:r>
      <w:r>
        <w:rPr>
          <w:spacing w:val="-2"/>
        </w:rPr>
        <w:t>1 mg/ml</w:t>
      </w:r>
    </w:p>
    <w:p w14:paraId="46E4E31E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287B860C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3CDBFCDA">
      <w:pPr>
        <w:pStyle w:val="2"/>
        <w:spacing w:before="117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F6D87EE">
      <w:pPr>
        <w:pStyle w:val="2"/>
        <w:spacing w:before="118" w:line="296" w:lineRule="auto"/>
        <w:ind w:left="550" w:right="3150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2BDC5C37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682E87BF">
      <w:pPr>
        <w:pStyle w:val="2"/>
        <w:spacing w:before="108" w:line="203" w:lineRule="auto"/>
        <w:ind w:left="547"/>
      </w:pPr>
      <w:r>
        <w:t>Constituents: PBS (without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</w:p>
    <w:p w14:paraId="684BCE02">
      <w:pPr>
        <w:pStyle w:val="2"/>
        <w:spacing w:before="118" w:line="193" w:lineRule="auto"/>
        <w:ind w:left="547"/>
      </w:pP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391A2C29">
      <w:pPr>
        <w:pStyle w:val="2"/>
        <w:spacing w:before="118" w:line="193" w:lineRule="auto"/>
        <w:ind w:left="550"/>
      </w:pPr>
      <w:r>
        <w:rPr>
          <w:b/>
          <w:bCs/>
          <w:spacing w:val="-1"/>
        </w:rPr>
        <w:t xml:space="preserve">Species Reactivity: </w:t>
      </w:r>
      <w:r>
        <w:rPr>
          <w:spacing w:val="-1"/>
        </w:rPr>
        <w:t>Recognizes</w:t>
      </w:r>
    </w:p>
    <w:p w14:paraId="075E08EB">
      <w:pPr>
        <w:pStyle w:val="2"/>
        <w:spacing w:before="118" w:line="193" w:lineRule="auto"/>
        <w:ind w:left="543"/>
      </w:pPr>
      <w:r>
        <w:t>BRCA</w:t>
      </w:r>
      <w:r>
        <w:rPr>
          <w:spacing w:val="1"/>
        </w:rPr>
        <w:t xml:space="preserve">2(2213-2543)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1"/>
        </w:rPr>
        <w:t>.</w:t>
      </w:r>
    </w:p>
    <w:p w14:paraId="3AEA1932">
      <w:pPr>
        <w:pStyle w:val="2"/>
        <w:spacing w:before="118" w:line="294" w:lineRule="auto"/>
        <w:ind w:left="548" w:right="868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1DC4EE2A">
      <w:pPr>
        <w:spacing w:line="32" w:lineRule="exact"/>
      </w:pPr>
    </w:p>
    <w:p w14:paraId="637F9E9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8F137D5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7FFD9C4B">
      <w:pPr>
        <w:spacing w:before="165" w:line="4416" w:lineRule="exact"/>
        <w:ind w:firstLine="648"/>
      </w:pPr>
      <w:r>
        <w:rPr>
          <w:position w:val="-88"/>
        </w:rPr>
        <w:drawing>
          <wp:inline distT="0" distB="0" distL="0" distR="0">
            <wp:extent cx="1840865" cy="280416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40991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2BA70">
      <w:pPr>
        <w:pStyle w:val="2"/>
        <w:spacing w:before="222" w:line="298" w:lineRule="auto"/>
        <w:ind w:right="775" w:firstLine="2"/>
        <w:jc w:val="both"/>
      </w:pPr>
      <w:r>
        <w:rPr>
          <w:b/>
          <w:bCs/>
        </w:rPr>
        <w:t>Western blot analysis o</w:t>
      </w:r>
      <w:r>
        <w:rPr>
          <w:b/>
          <w:bCs/>
          <w:spacing w:val="-1"/>
        </w:rPr>
        <w:t>f recombinant BRCA2</w:t>
      </w:r>
      <w:r>
        <w:rPr>
          <w:b/>
          <w:bCs/>
        </w:rPr>
        <w:t xml:space="preserve"> proteins. </w:t>
      </w:r>
      <w:r>
        <w:t>Purified His-tagged BRCA2 (352-643) protein</w:t>
      </w:r>
      <w:r>
        <w:rPr>
          <w:spacing w:val="14"/>
          <w:w w:val="101"/>
        </w:rPr>
        <w:t xml:space="preserve"> </w:t>
      </w:r>
      <w:r>
        <w:t>(lane1), His-tagged BRCA</w:t>
      </w:r>
      <w:r>
        <w:rPr>
          <w:spacing w:val="-1"/>
        </w:rPr>
        <w:t>2 (1475-1748)</w:t>
      </w:r>
    </w:p>
    <w:p w14:paraId="7FBC2E1A">
      <w:pPr>
        <w:pStyle w:val="2"/>
        <w:spacing w:before="32" w:line="294" w:lineRule="auto"/>
        <w:ind w:right="890"/>
      </w:pPr>
      <w:r>
        <w:t>protein(lane2),His-tagged BRCA2 (2213-2543)</w:t>
      </w:r>
      <w:r>
        <w:rPr>
          <w:spacing w:val="1"/>
        </w:rPr>
        <w:t xml:space="preserve"> </w:t>
      </w:r>
      <w:r>
        <w:t>protein(lane3) and His-tagged BRC</w:t>
      </w:r>
      <w:r>
        <w:rPr>
          <w:spacing w:val="-1"/>
        </w:rPr>
        <w:t>A2</w:t>
      </w:r>
    </w:p>
    <w:p w14:paraId="68D2E645">
      <w:pPr>
        <w:pStyle w:val="2"/>
        <w:spacing w:before="34" w:line="299" w:lineRule="auto"/>
        <w:ind w:left="8" w:right="894" w:firstLine="1"/>
      </w:pPr>
      <w:r>
        <w:t xml:space="preserve">(2793-3030) protein (lane4) </w:t>
      </w:r>
      <w:r>
        <w:rPr>
          <w:spacing w:val="-1"/>
        </w:rPr>
        <w:t>were blotted with</w:t>
      </w:r>
      <w:r>
        <w:t xml:space="preserve">   anti-BRCA2 (2213-2543) monoclon</w:t>
      </w:r>
      <w:r>
        <w:rPr>
          <w:spacing w:val="-1"/>
        </w:rPr>
        <w:t>al antibody</w:t>
      </w:r>
      <w:r>
        <w:t xml:space="preserve"> (Cat. #26364-3).</w:t>
      </w:r>
    </w:p>
    <w:p w14:paraId="07755955">
      <w:pPr>
        <w:spacing w:line="299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2" w:space="100"/>
            <w:col w:w="4889"/>
          </w:cols>
        </w:sectPr>
      </w:pPr>
    </w:p>
    <w:p w14:paraId="5DA79054">
      <w:pPr>
        <w:spacing w:line="244" w:lineRule="auto"/>
        <w:rPr>
          <w:rFonts w:ascii="Arial"/>
          <w:sz w:val="21"/>
        </w:rPr>
      </w:pPr>
    </w:p>
    <w:p w14:paraId="2F04710B">
      <w:pPr>
        <w:spacing w:line="244" w:lineRule="auto"/>
        <w:rPr>
          <w:rFonts w:ascii="Arial"/>
          <w:sz w:val="21"/>
        </w:rPr>
      </w:pPr>
    </w:p>
    <w:p w14:paraId="660AD160">
      <w:pPr>
        <w:spacing w:line="244" w:lineRule="auto"/>
        <w:rPr>
          <w:rFonts w:ascii="Arial"/>
          <w:sz w:val="21"/>
        </w:rPr>
      </w:pPr>
    </w:p>
    <w:p w14:paraId="559EFB9E">
      <w:pPr>
        <w:spacing w:line="244" w:lineRule="auto"/>
        <w:rPr>
          <w:rFonts w:ascii="Arial"/>
          <w:sz w:val="21"/>
        </w:rPr>
      </w:pPr>
    </w:p>
    <w:p w14:paraId="24802907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D234B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08813691">
      <w:pPr>
        <w:spacing w:line="149" w:lineRule="exact"/>
      </w:pPr>
    </w:p>
    <w:p w14:paraId="69225F8E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1A3E00B">
      <w:pPr>
        <w:pStyle w:val="2"/>
        <w:spacing w:before="48" w:line="252" w:lineRule="auto"/>
        <w:ind w:left="225" w:right="1498" w:hanging="225"/>
      </w:pPr>
    </w:p>
    <w:p w14:paraId="2A8A5C7C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2786EB47">
      <w:pPr>
        <w:spacing w:line="1305" w:lineRule="exact"/>
        <w:ind w:firstLine="540"/>
      </w:pPr>
    </w:p>
    <w:p w14:paraId="27CFF73C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4009B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4DE79007">
      <w:pPr>
        <w:spacing w:before="177" w:line="6352" w:lineRule="exact"/>
        <w:ind w:firstLine="639"/>
      </w:pPr>
      <w:r>
        <w:rPr>
          <w:position w:val="-127"/>
        </w:rPr>
        <w:drawing>
          <wp:inline distT="0" distB="0" distL="0" distR="0">
            <wp:extent cx="2508250" cy="403352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08852" cy="4033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F94B">
      <w:pPr>
        <w:pStyle w:val="2"/>
        <w:spacing w:before="145" w:line="189" w:lineRule="auto"/>
        <w:ind w:left="544"/>
      </w:pPr>
      <w:r>
        <w:rPr>
          <w:b/>
          <w:bCs/>
        </w:rPr>
        <w:t>Immunofluorescence of cell</w:t>
      </w:r>
      <w:r>
        <w:rPr>
          <w:b/>
          <w:bCs/>
          <w:spacing w:val="-1"/>
        </w:rPr>
        <w:t>s expressing</w:t>
      </w:r>
    </w:p>
    <w:p w14:paraId="5D374BD1">
      <w:pPr>
        <w:pStyle w:val="2"/>
        <w:spacing w:before="86" w:line="288" w:lineRule="auto"/>
        <w:ind w:left="548" w:right="5314" w:hanging="4"/>
      </w:pPr>
      <w:r>
        <w:rPr>
          <w:b/>
          <w:bCs/>
          <w:spacing w:val="-3"/>
        </w:rPr>
        <w:t>BRCA2</w:t>
      </w:r>
      <w:r>
        <w:rPr>
          <w:rFonts w:ascii="宋体" w:hAnsi="宋体" w:eastAsia="宋体" w:cs="宋体"/>
          <w:b/>
          <w:bCs/>
          <w:spacing w:val="-3"/>
        </w:rPr>
        <w:t>（</w:t>
      </w:r>
      <w:r>
        <w:rPr>
          <w:b/>
          <w:bCs/>
          <w:spacing w:val="-3"/>
        </w:rPr>
        <w:t>2213-2543</w:t>
      </w:r>
      <w:r>
        <w:rPr>
          <w:rFonts w:ascii="宋体" w:hAnsi="宋体" w:eastAsia="宋体" w:cs="宋体"/>
          <w:b/>
          <w:bCs/>
          <w:spacing w:val="-3"/>
        </w:rPr>
        <w:t>）</w:t>
      </w:r>
      <w:r>
        <w:rPr>
          <w:b/>
          <w:bCs/>
          <w:spacing w:val="-3"/>
        </w:rPr>
        <w:t>pro</w:t>
      </w:r>
      <w:r>
        <w:rPr>
          <w:b/>
          <w:bCs/>
          <w:spacing w:val="-4"/>
        </w:rPr>
        <w:t>tein with</w:t>
      </w:r>
      <w:r>
        <w:rPr>
          <w:b/>
          <w:bCs/>
          <w:spacing w:val="13"/>
        </w:rPr>
        <w:t xml:space="preserve"> </w:t>
      </w:r>
      <w:r>
        <w:rPr>
          <w:b/>
          <w:bCs/>
          <w:spacing w:val="-4"/>
        </w:rPr>
        <w:t>anti-BRCA2</w:t>
      </w:r>
      <w:r>
        <w:rPr>
          <w:b/>
          <w:bCs/>
        </w:rPr>
        <w:t xml:space="preserve"> </w:t>
      </w:r>
      <w:r>
        <w:rPr>
          <w:b/>
          <w:bCs/>
          <w:spacing w:val="-1"/>
        </w:rPr>
        <w:t xml:space="preserve">(2213-2543) antibody. </w:t>
      </w:r>
      <w:r>
        <w:rPr>
          <w:spacing w:val="-1"/>
        </w:rPr>
        <w:t>HEK293T cells was</w:t>
      </w:r>
    </w:p>
    <w:p w14:paraId="00088297">
      <w:pPr>
        <w:pStyle w:val="2"/>
        <w:spacing w:before="38" w:line="193" w:lineRule="auto"/>
        <w:ind w:left="542"/>
      </w:pPr>
      <w:r>
        <w:t>transfected with pCDNA3-GFP-B</w:t>
      </w:r>
      <w:r>
        <w:rPr>
          <w:spacing w:val="-1"/>
        </w:rPr>
        <w:t>RCA2</w:t>
      </w:r>
    </w:p>
    <w:p w14:paraId="73388DC4">
      <w:pPr>
        <w:pStyle w:val="2"/>
        <w:spacing w:before="119" w:line="299" w:lineRule="auto"/>
        <w:ind w:left="547" w:right="5367" w:firstLine="1"/>
      </w:pPr>
      <w:r>
        <w:t>(2213-2543) plasmid, then fixed a</w:t>
      </w:r>
      <w:r>
        <w:rPr>
          <w:spacing w:val="-1"/>
        </w:rPr>
        <w:t>nd stained with</w:t>
      </w:r>
      <w:r>
        <w:t xml:space="preserve"> anti-BRCA2 (2213-2543) monoclon</w:t>
      </w:r>
      <w:r>
        <w:rPr>
          <w:spacing w:val="-1"/>
        </w:rPr>
        <w:t>al antibody</w:t>
      </w:r>
      <w:r>
        <w:t xml:space="preserve">    (Cat. #26364-3).</w:t>
      </w:r>
    </w:p>
    <w:p w14:paraId="7395BB99">
      <w:pPr>
        <w:spacing w:line="242" w:lineRule="auto"/>
        <w:rPr>
          <w:rFonts w:ascii="Arial"/>
          <w:sz w:val="21"/>
        </w:rPr>
      </w:pPr>
    </w:p>
    <w:p w14:paraId="1B93E907">
      <w:pPr>
        <w:spacing w:line="243" w:lineRule="auto"/>
        <w:rPr>
          <w:rFonts w:ascii="Arial"/>
          <w:sz w:val="21"/>
        </w:rPr>
      </w:pPr>
    </w:p>
    <w:p w14:paraId="6F0BDCD4">
      <w:pPr>
        <w:spacing w:line="243" w:lineRule="auto"/>
        <w:rPr>
          <w:rFonts w:ascii="Arial"/>
          <w:sz w:val="21"/>
        </w:rPr>
      </w:pPr>
    </w:p>
    <w:p w14:paraId="1CB882DF">
      <w:pPr>
        <w:spacing w:line="243" w:lineRule="auto"/>
        <w:rPr>
          <w:rFonts w:ascii="Arial"/>
          <w:sz w:val="21"/>
        </w:rPr>
      </w:pPr>
    </w:p>
    <w:p w14:paraId="28E7F492">
      <w:pPr>
        <w:spacing w:line="243" w:lineRule="auto"/>
        <w:rPr>
          <w:rFonts w:ascii="Arial"/>
          <w:sz w:val="21"/>
        </w:rPr>
      </w:pPr>
    </w:p>
    <w:p w14:paraId="185D8725">
      <w:pPr>
        <w:spacing w:line="243" w:lineRule="auto"/>
        <w:rPr>
          <w:rFonts w:ascii="Arial"/>
          <w:sz w:val="21"/>
        </w:rPr>
      </w:pPr>
      <w:bookmarkStart w:id="0" w:name="_GoBack"/>
      <w:bookmarkEnd w:id="0"/>
    </w:p>
    <w:p w14:paraId="1D7672DE">
      <w:pPr>
        <w:spacing w:line="243" w:lineRule="auto"/>
        <w:rPr>
          <w:rFonts w:ascii="Arial"/>
          <w:sz w:val="21"/>
        </w:rPr>
      </w:pPr>
    </w:p>
    <w:p w14:paraId="2114F0A0">
      <w:pPr>
        <w:spacing w:line="243" w:lineRule="auto"/>
        <w:rPr>
          <w:rFonts w:ascii="Arial"/>
          <w:sz w:val="21"/>
        </w:rPr>
      </w:pPr>
    </w:p>
    <w:p w14:paraId="5952F806">
      <w:pPr>
        <w:spacing w:line="243" w:lineRule="auto"/>
        <w:rPr>
          <w:rFonts w:ascii="Arial"/>
          <w:sz w:val="21"/>
        </w:rPr>
      </w:pPr>
    </w:p>
    <w:p w14:paraId="53FB6864">
      <w:pPr>
        <w:spacing w:line="243" w:lineRule="auto"/>
        <w:rPr>
          <w:rFonts w:ascii="Arial"/>
          <w:sz w:val="21"/>
        </w:rPr>
      </w:pPr>
    </w:p>
    <w:p w14:paraId="542C4506">
      <w:pPr>
        <w:spacing w:line="243" w:lineRule="auto"/>
        <w:rPr>
          <w:rFonts w:ascii="Arial"/>
          <w:sz w:val="21"/>
        </w:rPr>
      </w:pPr>
    </w:p>
    <w:p w14:paraId="3407AC3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1E0C2780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C40366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248</Words>
  <Characters>1670</Characters>
  <TotalTime>1</TotalTime>
  <ScaleCrop>false</ScaleCrop>
  <LinksUpToDate>false</LinksUpToDate>
  <CharactersWithSpaces>1903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2016-06-15T14:09:00Z</dcterms:created>
  <dc:creator>Limin Wang</dc:creator>
  <cp:lastModifiedBy>周亿福</cp:lastModifiedBy>
  <dcterms:modified xsi:type="dcterms:W3CDTF">2025-08-14T08:21:55Z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2025-08-14T11:00:51Z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9714FF003A354927981E9A4CE07DE555_12</vt:lpwstr>
  </property>
</Properties>
</file>