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A94B4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12190" cy="942340"/>
            <wp:effectExtent l="0" t="0" r="16510" b="1016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4E6AF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311F1">
      <w:pPr>
        <w:pStyle w:val="2"/>
        <w:spacing w:before="280" w:line="189" w:lineRule="auto"/>
        <w:ind w:left="545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RET (C634Y)</w:t>
      </w:r>
    </w:p>
    <w:p w14:paraId="422D01EE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26146</w:t>
      </w:r>
    </w:p>
    <w:p w14:paraId="3F47B059">
      <w:pPr>
        <w:pStyle w:val="2"/>
        <w:spacing w:before="123" w:line="197" w:lineRule="auto"/>
        <w:ind w:left="548"/>
      </w:pPr>
      <w:r>
        <w:rPr>
          <w:b/>
          <w:bCs/>
        </w:rPr>
        <w:t>Gene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1"/>
        </w:rPr>
        <w:t xml:space="preserve">: </w:t>
      </w:r>
      <w:r>
        <w:t>RET</w:t>
      </w:r>
      <w:r>
        <w:rPr>
          <w:spacing w:val="11"/>
        </w:rPr>
        <w:t xml:space="preserve">, </w:t>
      </w:r>
      <w:r>
        <w:t>PTC</w:t>
      </w:r>
      <w:r>
        <w:rPr>
          <w:spacing w:val="11"/>
        </w:rPr>
        <w:t xml:space="preserve">, </w:t>
      </w:r>
      <w:r>
        <w:t>CDHF</w:t>
      </w:r>
      <w:r>
        <w:rPr>
          <w:spacing w:val="11"/>
        </w:rPr>
        <w:t xml:space="preserve">12, </w:t>
      </w:r>
      <w:r>
        <w:t>CAHF</w:t>
      </w:r>
      <w:r>
        <w:rPr>
          <w:spacing w:val="11"/>
        </w:rPr>
        <w:t xml:space="preserve">16, </w:t>
      </w:r>
      <w:r>
        <w:t>HSCR</w:t>
      </w:r>
      <w:r>
        <w:rPr>
          <w:spacing w:val="11"/>
        </w:rPr>
        <w:t xml:space="preserve">1, </w:t>
      </w:r>
      <w:r>
        <w:t>MEN</w:t>
      </w:r>
      <w:r>
        <w:rPr>
          <w:spacing w:val="11"/>
        </w:rPr>
        <w:t>2A,</w:t>
      </w:r>
      <w:r>
        <w:rPr>
          <w:spacing w:val="21"/>
          <w:w w:val="101"/>
        </w:rPr>
        <w:t xml:space="preserve"> </w:t>
      </w:r>
      <w:r>
        <w:t>MEN</w:t>
      </w:r>
      <w:r>
        <w:rPr>
          <w:spacing w:val="11"/>
        </w:rPr>
        <w:t>2B</w:t>
      </w:r>
    </w:p>
    <w:p w14:paraId="4EC4FB4E">
      <w:pPr>
        <w:pStyle w:val="2"/>
        <w:spacing w:before="11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8"/>
        </w:rPr>
        <w:t xml:space="preserve">: </w:t>
      </w:r>
      <w:r>
        <w:t>Anti</w:t>
      </w:r>
      <w:r>
        <w:rPr>
          <w:spacing w:val="18"/>
        </w:rPr>
        <w:t>-</w:t>
      </w:r>
      <w:r>
        <w:t>RET</w:t>
      </w:r>
      <w:r>
        <w:rPr>
          <w:spacing w:val="18"/>
        </w:rPr>
        <w:t xml:space="preserve"> (C634Y) </w:t>
      </w:r>
      <w:r>
        <w:t>Mouse</w:t>
      </w:r>
      <w:r>
        <w:rPr>
          <w:spacing w:val="18"/>
        </w:rPr>
        <w:t xml:space="preserve"> </w:t>
      </w:r>
      <w:r>
        <w:t>Monoclonal</w:t>
      </w:r>
      <w:r>
        <w:rPr>
          <w:spacing w:val="1"/>
        </w:rPr>
        <w:t xml:space="preserve"> </w:t>
      </w:r>
      <w:r>
        <w:t>Antibody</w:t>
      </w:r>
    </w:p>
    <w:p w14:paraId="28993EC2">
      <w:pPr>
        <w:spacing w:before="152"/>
      </w:pPr>
    </w:p>
    <w:p w14:paraId="74C5548E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4F9C68AC">
      <w:pPr>
        <w:pStyle w:val="2"/>
        <w:spacing w:before="38" w:line="201" w:lineRule="auto"/>
        <w:ind w:left="544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RET protein is encoded by the</w:t>
      </w:r>
    </w:p>
    <w:p w14:paraId="4C9D82B1">
      <w:pPr>
        <w:pStyle w:val="2"/>
        <w:spacing w:before="120" w:line="201" w:lineRule="auto"/>
        <w:ind w:left="543"/>
      </w:pPr>
      <w:r>
        <w:rPr>
          <w:spacing w:val="4"/>
        </w:rPr>
        <w:t>RET proto- oncogene. It is a recepto</w:t>
      </w:r>
      <w:r>
        <w:rPr>
          <w:spacing w:val="3"/>
        </w:rPr>
        <w:t>r tyrosine</w:t>
      </w:r>
    </w:p>
    <w:p w14:paraId="2CEEBED7">
      <w:pPr>
        <w:pStyle w:val="2"/>
        <w:spacing w:before="119" w:line="199" w:lineRule="auto"/>
        <w:ind w:left="541"/>
      </w:pPr>
      <w:r>
        <w:rPr>
          <w:spacing w:val="4"/>
        </w:rPr>
        <w:t>kinase. RET loss of</w:t>
      </w:r>
      <w:r>
        <w:rPr>
          <w:spacing w:val="-1"/>
        </w:rPr>
        <w:t xml:space="preserve"> </w:t>
      </w:r>
      <w:r>
        <w:rPr>
          <w:spacing w:val="4"/>
        </w:rPr>
        <w:t>function mutations are</w:t>
      </w:r>
    </w:p>
    <w:p w14:paraId="3ECFB764">
      <w:pPr>
        <w:pStyle w:val="2"/>
        <w:spacing w:before="121" w:line="201" w:lineRule="auto"/>
        <w:ind w:left="547"/>
      </w:pPr>
      <w:r>
        <w:rPr>
          <w:spacing w:val="4"/>
        </w:rPr>
        <w:t>associated with the development of</w:t>
      </w:r>
    </w:p>
    <w:p w14:paraId="748F0033">
      <w:pPr>
        <w:pStyle w:val="2"/>
        <w:spacing w:before="120" w:line="201" w:lineRule="auto"/>
        <w:ind w:left="543"/>
      </w:pPr>
      <w:r>
        <w:rPr>
          <w:spacing w:val="4"/>
        </w:rPr>
        <w:t>Hirschsprung’s disease, while gain of</w:t>
      </w:r>
      <w:r>
        <w:rPr>
          <w:spacing w:val="-10"/>
        </w:rPr>
        <w:t xml:space="preserve"> </w:t>
      </w:r>
      <w:r>
        <w:rPr>
          <w:spacing w:val="4"/>
        </w:rPr>
        <w:t>function</w:t>
      </w:r>
    </w:p>
    <w:p w14:paraId="46AEC320">
      <w:pPr>
        <w:pStyle w:val="2"/>
        <w:spacing w:before="119" w:line="201" w:lineRule="auto"/>
        <w:ind w:left="541"/>
      </w:pPr>
      <w:r>
        <w:rPr>
          <w:spacing w:val="5"/>
        </w:rPr>
        <w:t>mutations are assoc</w:t>
      </w:r>
      <w:r>
        <w:rPr>
          <w:spacing w:val="4"/>
        </w:rPr>
        <w:t>iated with development</w:t>
      </w:r>
      <w:r>
        <w:rPr>
          <w:spacing w:val="9"/>
        </w:rPr>
        <w:t xml:space="preserve"> </w:t>
      </w:r>
      <w:r>
        <w:rPr>
          <w:spacing w:val="4"/>
        </w:rPr>
        <w:t>of</w:t>
      </w:r>
    </w:p>
    <w:p w14:paraId="15C1FD6D">
      <w:pPr>
        <w:pStyle w:val="2"/>
        <w:spacing w:before="120" w:line="201" w:lineRule="auto"/>
        <w:ind w:left="541"/>
      </w:pPr>
      <w:r>
        <w:rPr>
          <w:spacing w:val="4"/>
        </w:rPr>
        <w:t>various types of</w:t>
      </w:r>
      <w:r>
        <w:rPr>
          <w:spacing w:val="-3"/>
        </w:rPr>
        <w:t xml:space="preserve"> </w:t>
      </w:r>
      <w:r>
        <w:rPr>
          <w:spacing w:val="4"/>
        </w:rPr>
        <w:t>human cancer, including</w:t>
      </w:r>
    </w:p>
    <w:p w14:paraId="7EF064DB">
      <w:pPr>
        <w:pStyle w:val="2"/>
        <w:spacing w:before="121" w:line="314" w:lineRule="auto"/>
        <w:ind w:left="541" w:right="402"/>
      </w:pPr>
      <w:r>
        <w:rPr>
          <w:spacing w:val="4"/>
        </w:rPr>
        <w:t>medullary thyroid carcinoma, multiple endocrine</w:t>
      </w:r>
      <w:r>
        <w:rPr>
          <w:spacing w:val="2"/>
        </w:rPr>
        <w:t xml:space="preserve"> </w:t>
      </w:r>
      <w:r>
        <w:t>neoplasias</w:t>
      </w:r>
      <w:r>
        <w:rPr>
          <w:spacing w:val="19"/>
        </w:rPr>
        <w:t xml:space="preserve"> </w:t>
      </w:r>
      <w:r>
        <w:t>type</w:t>
      </w:r>
      <w:r>
        <w:rPr>
          <w:spacing w:val="19"/>
        </w:rPr>
        <w:t xml:space="preserve"> 2</w:t>
      </w:r>
      <w:r>
        <w:t>A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2B, </w:t>
      </w:r>
      <w:r>
        <w:t>pheochromocytoma</w:t>
      </w:r>
      <w:r>
        <w:rPr>
          <w:spacing w:val="1"/>
        </w:rPr>
        <w:t xml:space="preserve">   </w:t>
      </w:r>
      <w:r>
        <w:rPr>
          <w:spacing w:val="4"/>
        </w:rPr>
        <w:t>and parathyroid hyperplas</w:t>
      </w:r>
      <w:r>
        <w:rPr>
          <w:spacing w:val="3"/>
        </w:rPr>
        <w:t>ia.</w:t>
      </w:r>
    </w:p>
    <w:p w14:paraId="6FC17ADA">
      <w:pPr>
        <w:pStyle w:val="2"/>
        <w:spacing w:before="33" w:line="314" w:lineRule="auto"/>
        <w:ind w:left="541" w:right="937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</w:t>
      </w:r>
      <w:r>
        <w:rPr>
          <w:spacing w:val="5"/>
        </w:rPr>
        <w:t xml:space="preserve">internal region ofRET which includes the  </w:t>
      </w:r>
      <w:r>
        <w:t>mutation</w:t>
      </w:r>
      <w:r>
        <w:rPr>
          <w:spacing w:val="17"/>
        </w:rPr>
        <w:t xml:space="preserve"> </w:t>
      </w:r>
      <w:r>
        <w:t>ofC</w:t>
      </w:r>
      <w:r>
        <w:rPr>
          <w:spacing w:val="17"/>
        </w:rPr>
        <w:t xml:space="preserve">634Y, </w:t>
      </w:r>
      <w:r>
        <w:t>human</w:t>
      </w:r>
      <w:r>
        <w:rPr>
          <w:spacing w:val="17"/>
        </w:rPr>
        <w:t xml:space="preserve"> </w:t>
      </w:r>
      <w:r>
        <w:t>origin</w:t>
      </w:r>
      <w:r>
        <w:rPr>
          <w:spacing w:val="17"/>
        </w:rPr>
        <w:t>.</w:t>
      </w:r>
    </w:p>
    <w:p w14:paraId="3C2A2181">
      <w:pPr>
        <w:pStyle w:val="2"/>
        <w:spacing w:before="36" w:line="304" w:lineRule="auto"/>
        <w:ind w:left="543" w:right="1188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0CF0E3AB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1:1000-1:2000</w:t>
      </w:r>
    </w:p>
    <w:p w14:paraId="37727520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28862AFB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53C439CF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3"/>
        </w:rPr>
        <w:t xml:space="preserve">: </w:t>
      </w:r>
      <w:r>
        <w:rPr>
          <w:spacing w:val="13"/>
        </w:rPr>
        <w:t xml:space="preserve">0.5 </w:t>
      </w:r>
      <w:r>
        <w:t>mg</w:t>
      </w:r>
      <w:r>
        <w:rPr>
          <w:spacing w:val="13"/>
        </w:rPr>
        <w:t>/</w:t>
      </w:r>
      <w:r>
        <w:t>ml</w:t>
      </w:r>
    </w:p>
    <w:p w14:paraId="018FDB09">
      <w:pPr>
        <w:pStyle w:val="2"/>
        <w:spacing w:before="127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2A4FD350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5A6FE3AF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61576F6C">
      <w:pPr>
        <w:pStyle w:val="2"/>
        <w:spacing w:before="120" w:line="311" w:lineRule="auto"/>
        <w:ind w:left="550" w:right="3151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35B8DB41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5951C715">
      <w:pPr>
        <w:pStyle w:val="2"/>
        <w:spacing w:before="106" w:line="315" w:lineRule="auto"/>
        <w:ind w:left="547" w:right="516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46EAB396">
      <w:pPr>
        <w:pStyle w:val="2"/>
        <w:spacing w:before="36" w:line="309" w:lineRule="auto"/>
        <w:ind w:left="539" w:right="478" w:firstLine="11"/>
      </w:pPr>
      <w:r>
        <w:rPr>
          <w:b/>
          <w:bCs/>
        </w:rPr>
        <w:t>Species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9"/>
        </w:rPr>
        <w:t xml:space="preserve">: </w:t>
      </w:r>
      <w:r>
        <w:t>Recognizes</w:t>
      </w:r>
      <w:r>
        <w:rPr>
          <w:spacing w:val="19"/>
        </w:rPr>
        <w:t xml:space="preserve"> </w:t>
      </w:r>
      <w:r>
        <w:t>C</w:t>
      </w:r>
      <w:r>
        <w:rPr>
          <w:spacing w:val="19"/>
        </w:rPr>
        <w:t>634</w:t>
      </w:r>
      <w:r>
        <w:t>Y</w:t>
      </w:r>
      <w:r>
        <w:rPr>
          <w:spacing w:val="19"/>
        </w:rPr>
        <w:t xml:space="preserve"> </w:t>
      </w:r>
      <w:r>
        <w:t>mutant</w:t>
      </w:r>
      <w:r>
        <w:rPr>
          <w:spacing w:val="19"/>
        </w:rPr>
        <w:t>,</w:t>
      </w:r>
      <w:r>
        <w:t xml:space="preserve"> </w:t>
      </w:r>
      <w:r>
        <w:rPr>
          <w:spacing w:val="4"/>
        </w:rPr>
        <w:t>but not wild-type RET of</w:t>
      </w:r>
      <w:r>
        <w:rPr>
          <w:spacing w:val="-1"/>
        </w:rPr>
        <w:t xml:space="preserve"> </w:t>
      </w:r>
      <w:r>
        <w:rPr>
          <w:spacing w:val="4"/>
        </w:rPr>
        <w:t>vertebrates.</w:t>
      </w:r>
    </w:p>
    <w:p w14:paraId="62E65D30">
      <w:pPr>
        <w:pStyle w:val="2"/>
        <w:spacing w:before="31" w:line="309" w:lineRule="auto"/>
        <w:ind w:left="548" w:right="865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60F559C0">
      <w:pPr>
        <w:spacing w:line="33" w:lineRule="exact"/>
      </w:pPr>
    </w:p>
    <w:p w14:paraId="4E95690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E736D1F">
      <w:pPr>
        <w:pStyle w:val="2"/>
        <w:spacing w:before="44" w:line="192" w:lineRule="auto"/>
        <w:ind w:left="2"/>
      </w:pPr>
      <w:r>
        <w:rPr>
          <w:b/>
          <w:bCs/>
          <w:spacing w:val="3"/>
        </w:rPr>
        <w:t>Western blot:</w:t>
      </w:r>
    </w:p>
    <w:p w14:paraId="6E362FD1">
      <w:pPr>
        <w:spacing w:before="52" w:line="3715" w:lineRule="exact"/>
        <w:ind w:firstLine="1125"/>
      </w:pPr>
      <w:r>
        <w:rPr>
          <w:position w:val="-74"/>
        </w:rPr>
        <w:drawing>
          <wp:inline distT="0" distB="0" distL="0" distR="0">
            <wp:extent cx="1503680" cy="235902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4188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526D4">
      <w:pPr>
        <w:pStyle w:val="2"/>
        <w:spacing w:before="101" w:line="308" w:lineRule="auto"/>
        <w:ind w:left="8" w:right="1074" w:hanging="6"/>
      </w:pPr>
      <w:r>
        <w:rPr>
          <w:b/>
          <w:bCs/>
          <w:spacing w:val="4"/>
        </w:rPr>
        <w:t>Western blot analysis of recombinant RET</w:t>
      </w:r>
      <w:r>
        <w:rPr>
          <w:b/>
          <w:bCs/>
        </w:rPr>
        <w:t xml:space="preserve"> </w:t>
      </w:r>
      <w:r>
        <w:rPr>
          <w:b/>
          <w:bCs/>
          <w:spacing w:val="12"/>
        </w:rPr>
        <w:t xml:space="preserve">(C634Y) </w:t>
      </w:r>
      <w:r>
        <w:rPr>
          <w:b/>
          <w:bCs/>
        </w:rPr>
        <w:t>and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wildtype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. </w:t>
      </w:r>
      <w:r>
        <w:t>Purified</w:t>
      </w:r>
    </w:p>
    <w:p w14:paraId="47C4717B">
      <w:pPr>
        <w:pStyle w:val="2"/>
        <w:spacing w:before="32" w:line="317" w:lineRule="auto"/>
        <w:ind w:right="1072" w:firstLine="3"/>
      </w:pPr>
      <w:r>
        <w:t>His</w:t>
      </w:r>
      <w:r>
        <w:rPr>
          <w:spacing w:val="10"/>
        </w:rPr>
        <w:t>-</w:t>
      </w:r>
      <w:r>
        <w:t>tagged</w:t>
      </w:r>
      <w:r>
        <w:rPr>
          <w:spacing w:val="10"/>
        </w:rPr>
        <w:t xml:space="preserve"> </w:t>
      </w:r>
      <w:r>
        <w:t>RET</w:t>
      </w:r>
      <w:r>
        <w:rPr>
          <w:spacing w:val="10"/>
        </w:rPr>
        <w:t xml:space="preserve"> (C634Y) </w:t>
      </w:r>
      <w:r>
        <w:t>protein</w:t>
      </w:r>
      <w:r>
        <w:rPr>
          <w:spacing w:val="10"/>
        </w:rPr>
        <w:t xml:space="preserve"> (</w:t>
      </w:r>
      <w:r>
        <w:t>lane</w:t>
      </w:r>
      <w:r>
        <w:rPr>
          <w:spacing w:val="10"/>
        </w:rPr>
        <w:t xml:space="preserve">1) </w:t>
      </w:r>
      <w:r>
        <w:t>and</w:t>
      </w:r>
      <w:r>
        <w:rPr>
          <w:spacing w:val="12"/>
          <w:w w:val="101"/>
        </w:rPr>
        <w:t xml:space="preserve"> </w:t>
      </w:r>
      <w:r>
        <w:rPr>
          <w:spacing w:val="4"/>
        </w:rPr>
        <w:t>corresponding wild-type protein (lane2) were</w:t>
      </w:r>
      <w:r>
        <w:rPr>
          <w:spacing w:val="3"/>
        </w:rPr>
        <w:t xml:space="preserve"> </w:t>
      </w:r>
      <w:r>
        <w:t>blotted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anti</w:t>
      </w:r>
      <w:r>
        <w:rPr>
          <w:spacing w:val="14"/>
        </w:rPr>
        <w:t>-</w:t>
      </w:r>
      <w:r>
        <w:t>RET</w:t>
      </w:r>
      <w:r>
        <w:rPr>
          <w:spacing w:val="14"/>
        </w:rPr>
        <w:t xml:space="preserve"> (C634Y) </w:t>
      </w:r>
      <w:r>
        <w:t>monoclonal    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#26146).</w:t>
      </w:r>
    </w:p>
    <w:p w14:paraId="290945FA">
      <w:pPr>
        <w:spacing w:line="317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3" w:space="100"/>
            <w:col w:w="4888"/>
          </w:cols>
        </w:sectPr>
      </w:pPr>
    </w:p>
    <w:p w14:paraId="6CB9DB5B">
      <w:pPr>
        <w:spacing w:line="332" w:lineRule="auto"/>
        <w:rPr>
          <w:rFonts w:ascii="Arial"/>
          <w:sz w:val="21"/>
        </w:rPr>
      </w:pPr>
    </w:p>
    <w:p w14:paraId="62BAB63D">
      <w:pPr>
        <w:spacing w:line="333" w:lineRule="auto"/>
        <w:rPr>
          <w:rFonts w:ascii="Arial"/>
          <w:sz w:val="21"/>
        </w:rPr>
      </w:pPr>
    </w:p>
    <w:p w14:paraId="077F7821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37763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7F93B346">
      <w:pPr>
        <w:pStyle w:val="2"/>
        <w:spacing w:before="1" w:line="236" w:lineRule="auto"/>
        <w:ind w:left="2284"/>
      </w:pPr>
    </w:p>
    <w:p w14:paraId="7C9CB751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091CDC20">
      <w:pPr>
        <w:spacing w:line="1305" w:lineRule="exact"/>
        <w:ind w:firstLine="540"/>
      </w:pPr>
    </w:p>
    <w:p w14:paraId="7727068F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59186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1E1BD9BB">
      <w:pPr>
        <w:spacing w:before="209" w:line="4083" w:lineRule="exact"/>
        <w:ind w:firstLine="819"/>
      </w:pPr>
      <w:r>
        <w:rPr>
          <w:position w:val="-81"/>
        </w:rPr>
        <w:drawing>
          <wp:inline distT="0" distB="0" distL="0" distR="0">
            <wp:extent cx="2430145" cy="259207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0162" cy="259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7D946">
      <w:pPr>
        <w:pStyle w:val="2"/>
        <w:spacing w:before="200" w:line="309" w:lineRule="auto"/>
        <w:ind w:left="543" w:right="5494"/>
      </w:pPr>
      <w:r>
        <w:rPr>
          <w:b/>
          <w:bCs/>
          <w:spacing w:val="4"/>
        </w:rPr>
        <w:t>Immunofluorescence of cells expressing RET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2"/>
        </w:rPr>
        <w:t>-</w:t>
      </w:r>
      <w:r>
        <w:rPr>
          <w:b/>
          <w:bCs/>
        </w:rPr>
        <w:t>RET</w:t>
      </w:r>
      <w:r>
        <w:rPr>
          <w:b/>
          <w:bCs/>
          <w:spacing w:val="12"/>
        </w:rPr>
        <w:t xml:space="preserve"> (C634Y)</w:t>
      </w:r>
      <w:r>
        <w:rPr>
          <w:b/>
          <w:bCs/>
          <w:spacing w:val="19"/>
          <w:w w:val="101"/>
        </w:rPr>
        <w:t xml:space="preserve"> </w:t>
      </w:r>
      <w:r>
        <w:rPr>
          <w:b/>
          <w:bCs/>
        </w:rPr>
        <w:t>antibody</w:t>
      </w:r>
      <w:r>
        <w:rPr>
          <w:b/>
          <w:bCs/>
          <w:spacing w:val="12"/>
        </w:rPr>
        <w:t>.</w:t>
      </w:r>
    </w:p>
    <w:p w14:paraId="20E1AD35">
      <w:pPr>
        <w:pStyle w:val="2"/>
        <w:spacing w:before="28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1B7C5709">
      <w:pPr>
        <w:pStyle w:val="2"/>
        <w:spacing w:before="120" w:line="315" w:lineRule="auto"/>
        <w:ind w:left="546" w:right="5398" w:hanging="7"/>
      </w:pPr>
      <w:r>
        <w:t>pCDNA</w:t>
      </w:r>
      <w:r>
        <w:rPr>
          <w:spacing w:val="17"/>
        </w:rPr>
        <w:t>3-</w:t>
      </w:r>
      <w:r>
        <w:t>GFP</w:t>
      </w:r>
      <w:r>
        <w:rPr>
          <w:spacing w:val="17"/>
        </w:rPr>
        <w:t>-</w:t>
      </w:r>
      <w:r>
        <w:t>RET</w:t>
      </w:r>
      <w:r>
        <w:rPr>
          <w:spacing w:val="17"/>
        </w:rPr>
        <w:t xml:space="preserve"> (</w:t>
      </w:r>
      <w:r>
        <w:t>WT</w:t>
      </w:r>
      <w:r>
        <w:rPr>
          <w:spacing w:val="17"/>
        </w:rPr>
        <w:t xml:space="preserve">) </w:t>
      </w:r>
      <w:r>
        <w:t>plasmid</w:t>
      </w:r>
      <w:r>
        <w:rPr>
          <w:spacing w:val="17"/>
        </w:rPr>
        <w:t xml:space="preserve"> (</w:t>
      </w:r>
      <w:r>
        <w:t>left</w:t>
      </w:r>
      <w:r>
        <w:rPr>
          <w:spacing w:val="17"/>
        </w:rPr>
        <w:t xml:space="preserve"> </w:t>
      </w:r>
      <w:r>
        <w:t>column</w:t>
      </w:r>
      <w:r>
        <w:rPr>
          <w:spacing w:val="17"/>
        </w:rPr>
        <w:t>)</w:t>
      </w:r>
      <w:r>
        <w:rPr>
          <w:spacing w:val="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pCDNA</w:t>
      </w:r>
      <w:r>
        <w:rPr>
          <w:spacing w:val="11"/>
        </w:rPr>
        <w:t>3-</w:t>
      </w:r>
      <w:r>
        <w:t>GFP</w:t>
      </w:r>
      <w:r>
        <w:rPr>
          <w:spacing w:val="11"/>
        </w:rPr>
        <w:t>-</w:t>
      </w:r>
      <w:r>
        <w:t>RET</w:t>
      </w:r>
      <w:r>
        <w:rPr>
          <w:spacing w:val="11"/>
        </w:rPr>
        <w:t xml:space="preserve"> (C634Y) </w:t>
      </w:r>
      <w:r>
        <w:t>plasmid</w:t>
      </w:r>
      <w:r>
        <w:rPr>
          <w:spacing w:val="11"/>
        </w:rPr>
        <w:t xml:space="preserve"> (</w:t>
      </w:r>
      <w:r>
        <w:t>right</w:t>
      </w:r>
      <w:r>
        <w:rPr>
          <w:spacing w:val="3"/>
        </w:rPr>
        <w:t xml:space="preserve">   </w:t>
      </w:r>
      <w:r>
        <w:rPr>
          <w:spacing w:val="4"/>
        </w:rPr>
        <w:t>column), then fixed and sta</w:t>
      </w:r>
      <w:r>
        <w:rPr>
          <w:spacing w:val="3"/>
        </w:rPr>
        <w:t>ined</w:t>
      </w:r>
      <w:r>
        <w:rPr>
          <w:spacing w:val="5"/>
        </w:rPr>
        <w:t xml:space="preserve"> </w:t>
      </w:r>
      <w:r>
        <w:rPr>
          <w:spacing w:val="3"/>
        </w:rPr>
        <w:t>with</w:t>
      </w:r>
      <w:r>
        <w:rPr>
          <w:spacing w:val="13"/>
          <w:w w:val="101"/>
        </w:rPr>
        <w:t xml:space="preserve"> </w:t>
      </w:r>
      <w:r>
        <w:rPr>
          <w:spacing w:val="3"/>
        </w:rPr>
        <w:t>anti-RET</w:t>
      </w:r>
    </w:p>
    <w:p w14:paraId="5D068504">
      <w:pPr>
        <w:pStyle w:val="2"/>
        <w:spacing w:before="32" w:line="201" w:lineRule="auto"/>
        <w:ind w:left="548"/>
      </w:pPr>
      <w:r>
        <w:rPr>
          <w:spacing w:val="8"/>
        </w:rPr>
        <w:t xml:space="preserve">(C634Y) </w:t>
      </w:r>
      <w:r>
        <w:t>monoclonal</w:t>
      </w:r>
      <w:r>
        <w:rPr>
          <w:spacing w:val="8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#26146).</w:t>
      </w:r>
    </w:p>
    <w:p w14:paraId="2BC9B1E7">
      <w:pPr>
        <w:spacing w:line="246" w:lineRule="auto"/>
        <w:rPr>
          <w:rFonts w:ascii="Arial"/>
          <w:sz w:val="21"/>
        </w:rPr>
      </w:pPr>
    </w:p>
    <w:p w14:paraId="58E90953">
      <w:pPr>
        <w:spacing w:line="246" w:lineRule="auto"/>
        <w:rPr>
          <w:rFonts w:ascii="Arial"/>
          <w:sz w:val="21"/>
        </w:rPr>
      </w:pPr>
    </w:p>
    <w:p w14:paraId="04C5DF77">
      <w:pPr>
        <w:spacing w:line="246" w:lineRule="auto"/>
        <w:rPr>
          <w:rFonts w:ascii="Arial"/>
          <w:sz w:val="21"/>
        </w:rPr>
      </w:pPr>
    </w:p>
    <w:p w14:paraId="130163CA">
      <w:pPr>
        <w:spacing w:line="246" w:lineRule="auto"/>
        <w:rPr>
          <w:rFonts w:ascii="Arial"/>
          <w:sz w:val="21"/>
        </w:rPr>
      </w:pPr>
    </w:p>
    <w:p w14:paraId="61121C82">
      <w:pPr>
        <w:spacing w:line="246" w:lineRule="auto"/>
        <w:rPr>
          <w:rFonts w:ascii="Arial"/>
          <w:sz w:val="21"/>
        </w:rPr>
      </w:pPr>
    </w:p>
    <w:p w14:paraId="0E9F6E2E">
      <w:pPr>
        <w:spacing w:line="246" w:lineRule="auto"/>
        <w:rPr>
          <w:rFonts w:ascii="Arial"/>
          <w:sz w:val="21"/>
        </w:rPr>
      </w:pPr>
    </w:p>
    <w:p w14:paraId="5364D572">
      <w:pPr>
        <w:spacing w:line="246" w:lineRule="auto"/>
        <w:rPr>
          <w:rFonts w:ascii="Arial"/>
          <w:sz w:val="21"/>
        </w:rPr>
      </w:pPr>
    </w:p>
    <w:p w14:paraId="02332047">
      <w:pPr>
        <w:spacing w:line="246" w:lineRule="auto"/>
        <w:rPr>
          <w:rFonts w:ascii="Arial"/>
          <w:sz w:val="21"/>
        </w:rPr>
      </w:pPr>
    </w:p>
    <w:p w14:paraId="094A1A2F">
      <w:pPr>
        <w:spacing w:line="246" w:lineRule="auto"/>
        <w:rPr>
          <w:rFonts w:ascii="Arial"/>
          <w:sz w:val="21"/>
        </w:rPr>
      </w:pPr>
    </w:p>
    <w:p w14:paraId="6A371929">
      <w:pPr>
        <w:spacing w:line="246" w:lineRule="auto"/>
        <w:rPr>
          <w:rFonts w:ascii="Arial"/>
          <w:sz w:val="21"/>
        </w:rPr>
      </w:pPr>
    </w:p>
    <w:p w14:paraId="51999772">
      <w:pPr>
        <w:spacing w:line="246" w:lineRule="auto"/>
        <w:rPr>
          <w:rFonts w:ascii="Arial"/>
          <w:sz w:val="21"/>
        </w:rPr>
      </w:pPr>
    </w:p>
    <w:p w14:paraId="12E60461">
      <w:pPr>
        <w:spacing w:line="246" w:lineRule="auto"/>
        <w:rPr>
          <w:rFonts w:ascii="Arial"/>
          <w:sz w:val="21"/>
        </w:rPr>
      </w:pPr>
    </w:p>
    <w:p w14:paraId="360B2FB0">
      <w:pPr>
        <w:spacing w:line="246" w:lineRule="auto"/>
        <w:rPr>
          <w:rFonts w:ascii="Arial"/>
          <w:sz w:val="21"/>
        </w:rPr>
      </w:pPr>
    </w:p>
    <w:p w14:paraId="4CDEBFEF">
      <w:pPr>
        <w:spacing w:line="246" w:lineRule="auto"/>
        <w:rPr>
          <w:rFonts w:ascii="Arial"/>
          <w:sz w:val="21"/>
        </w:rPr>
      </w:pPr>
    </w:p>
    <w:p w14:paraId="26ED3A62">
      <w:pPr>
        <w:spacing w:line="246" w:lineRule="auto"/>
        <w:rPr>
          <w:rFonts w:ascii="Arial"/>
          <w:sz w:val="21"/>
        </w:rPr>
      </w:pPr>
    </w:p>
    <w:p w14:paraId="49BD4B61">
      <w:pPr>
        <w:spacing w:line="246" w:lineRule="auto"/>
        <w:rPr>
          <w:rFonts w:ascii="Arial"/>
          <w:sz w:val="21"/>
        </w:rPr>
      </w:pPr>
    </w:p>
    <w:p w14:paraId="2A575034">
      <w:pPr>
        <w:spacing w:line="246" w:lineRule="auto"/>
        <w:rPr>
          <w:rFonts w:ascii="Arial"/>
          <w:sz w:val="21"/>
        </w:rPr>
      </w:pPr>
    </w:p>
    <w:p w14:paraId="7D17825E">
      <w:pPr>
        <w:spacing w:line="61" w:lineRule="exact"/>
      </w:pPr>
      <w:bookmarkStart w:id="0" w:name="_GoBack"/>
      <w:bookmarkEnd w:id="0"/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F599E">
    <w:pPr>
      <w:spacing w:after="52" w:line="198" w:lineRule="auto"/>
      <w:ind w:left="2072"/>
      <w:rPr>
        <w:rFonts w:ascii="Arial" w:hAnsi="Arial" w:eastAsia="Arial" w:cs="Arial"/>
        <w:b/>
        <w:bCs/>
        <w:spacing w:val="-1"/>
        <w:sz w:val="18"/>
        <w:szCs w:val="18"/>
      </w:rPr>
    </w:pPr>
    <w:r>
      <w:rPr>
        <w:rFonts w:ascii="Arial" w:hAnsi="Arial" w:eastAsia="Arial" w:cs="Arial"/>
        <w:b/>
        <w:bCs/>
        <w:sz w:val="18"/>
        <w:szCs w:val="18"/>
      </w:rPr>
      <w:t>For research use only. Not fo</w:t>
    </w:r>
    <w:r>
      <w:rPr>
        <w:rFonts w:ascii="Arial" w:hAnsi="Arial" w:eastAsia="Arial" w:cs="Arial"/>
        <w:b/>
        <w:bCs/>
        <w:spacing w:val="-1"/>
        <w:sz w:val="18"/>
        <w:szCs w:val="18"/>
      </w:rPr>
      <w:t>r diagnostic</w:t>
    </w:r>
    <w:r>
      <w:rPr>
        <w:rFonts w:ascii="Arial" w:hAnsi="Arial" w:eastAsia="Arial" w:cs="Arial"/>
        <w:b/>
        <w:bCs/>
        <w:spacing w:val="6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or therapeutic</w:t>
    </w:r>
    <w:r>
      <w:rPr>
        <w:rFonts w:ascii="Arial" w:hAnsi="Arial" w:eastAsia="Arial" w:cs="Arial"/>
        <w:b/>
        <w:bCs/>
        <w:spacing w:val="6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  <w:p w14:paraId="567B8D7B">
    <w:pPr>
      <w:spacing w:after="52" w:line="198" w:lineRule="auto"/>
      <w:ind w:left="2072"/>
      <w:rPr>
        <w:rFonts w:ascii="Arial" w:hAnsi="Arial" w:eastAsia="Arial" w:cs="Arial"/>
        <w:b/>
        <w:bCs/>
        <w:spacing w:val="-1"/>
        <w:sz w:val="18"/>
        <w:szCs w:val="18"/>
      </w:rPr>
    </w:pPr>
  </w:p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5BABE9A4">
    <w:pPr>
      <w:spacing w:line="360" w:lineRule="auto"/>
      <w:rPr>
        <w:rFonts w:ascii="Arial"/>
        <w:sz w:val="21"/>
      </w:rPr>
    </w:pPr>
  </w:p>
  <w:p w14:paraId="00AC75D2">
    <w:pPr>
      <w:pStyle w:val="2"/>
      <w:spacing w:line="241" w:lineRule="auto"/>
      <w:ind w:left="2284"/>
    </w:pPr>
    <w:r>
      <w:pict>
        <v:shape id="_x0000_s2049" o:spid="_x0000_s2049" o:spt="202" type="#_x0000_t202" style="position:absolute;left:0pt;margin-left:68.15pt;margin-top:-9.4pt;height:10.45pt;width:173.7pt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6F5FB7FA">
                <w:pPr>
                  <w:spacing w:before="20" w:line="195" w:lineRule="auto"/>
                  <w:ind w:left="20"/>
                  <w:rPr>
                    <w:rFonts w:ascii="Arial" w:hAnsi="Arial" w:eastAsia="Arial" w:cs="Arial"/>
                    <w:sz w:val="18"/>
                    <w:szCs w:val="18"/>
                  </w:rPr>
                </w:pPr>
              </w:p>
            </w:txbxContent>
          </v:textbox>
        </v:shape>
      </w:pict>
    </w:r>
    <w:r>
      <w:pict>
        <v:shape id="_x0000_s2050" o:spid="_x0000_s2050" o:spt="202" type="#_x0000_t202" style="position:absolute;left:0pt;margin-left:254.2pt;margin-top:-11.95pt;height:28.1pt;width:174.4pt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4913E3C2">
                <w:pPr>
                  <w:pStyle w:val="2"/>
                  <w:spacing w:before="20" w:line="275" w:lineRule="auto"/>
                  <w:ind w:left="248" w:right="20" w:hanging="229"/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2607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255</Words>
  <Characters>1663</Characters>
  <TotalTime>1</TotalTime>
  <ScaleCrop>false</ScaleCrop>
  <LinksUpToDate>false</LinksUpToDate>
  <CharactersWithSpaces>1928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2016-02-26T10:20:00Z</dcterms:created>
  <dc:creator>Limin Wang</dc:creator>
  <cp:lastModifiedBy>周亿福</cp:lastModifiedBy>
  <dcterms:modified xsi:type="dcterms:W3CDTF">2025-08-14T05:00:03Z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69748AE932304E97A14C1323CA30315F_12</vt:lpwstr>
  </property>
</Properties>
</file>