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6B6FF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(G863D)</w:t>
      </w:r>
    </w:p>
    <w:p w14:paraId="7ABD28B0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26119</w:t>
      </w:r>
    </w:p>
    <w:p w14:paraId="2ADFF1EC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EGFR/HER</w:t>
      </w:r>
      <w:r>
        <w:rPr>
          <w:spacing w:val="-1"/>
        </w:rPr>
        <w:t>1/ERBB1</w:t>
      </w:r>
    </w:p>
    <w:p w14:paraId="0FF2EF5B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(G863D) Mouse Monoclonal</w:t>
      </w:r>
      <w:r>
        <w:rPr>
          <w:spacing w:val="-12"/>
        </w:rPr>
        <w:t xml:space="preserve"> </w:t>
      </w:r>
      <w:r>
        <w:t>Antibody</w:t>
      </w:r>
    </w:p>
    <w:p w14:paraId="79ECA122">
      <w:pPr>
        <w:spacing w:before="128"/>
      </w:pPr>
    </w:p>
    <w:p w14:paraId="3D516E28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1981DE73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EGFR is a recept</w:t>
      </w:r>
      <w:r>
        <w:rPr>
          <w:spacing w:val="-1"/>
        </w:rPr>
        <w:t>or tyrosine</w:t>
      </w:r>
    </w:p>
    <w:p w14:paraId="695171F9">
      <w:pPr>
        <w:pStyle w:val="2"/>
        <w:spacing w:before="120" w:line="300" w:lineRule="auto"/>
        <w:ind w:left="554" w:right="540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0AD10300">
      <w:pPr>
        <w:pStyle w:val="2"/>
        <w:spacing w:before="31" w:line="191" w:lineRule="auto"/>
        <w:ind w:left="549"/>
      </w:pPr>
      <w:r>
        <w:t>responses. It activates at leas</w:t>
      </w:r>
      <w:r>
        <w:rPr>
          <w:spacing w:val="-1"/>
        </w:rPr>
        <w:t>t</w:t>
      </w:r>
      <w:r>
        <w:rPr>
          <w:spacing w:val="2"/>
        </w:rPr>
        <w:t xml:space="preserve"> </w:t>
      </w:r>
      <w:r>
        <w:rPr>
          <w:spacing w:val="-1"/>
        </w:rPr>
        <w:t>4</w:t>
      </w:r>
      <w:r>
        <w:rPr>
          <w:spacing w:val="2"/>
        </w:rPr>
        <w:t xml:space="preserve"> </w:t>
      </w:r>
      <w:r>
        <w:rPr>
          <w:spacing w:val="-1"/>
        </w:rPr>
        <w:t>major</w:t>
      </w:r>
    </w:p>
    <w:p w14:paraId="4BE1EC5F">
      <w:pPr>
        <w:pStyle w:val="2"/>
        <w:spacing w:before="121" w:line="299" w:lineRule="auto"/>
        <w:ind w:left="551" w:right="729" w:firstLine="3"/>
      </w:pPr>
      <w:r>
        <w:t>downstream signaling cascades including</w:t>
      </w:r>
      <w:r>
        <w:rPr>
          <w:spacing w:val="-1"/>
        </w:rPr>
        <w:t xml:space="preserve"> the</w:t>
      </w:r>
      <w:r>
        <w:t xml:space="preserve"> RAS-RAF-MEK-ERK, PI3 kinase</w:t>
      </w:r>
      <w:r>
        <w:rPr>
          <w:spacing w:val="-1"/>
        </w:rPr>
        <w:t>-AKT,</w:t>
      </w:r>
    </w:p>
    <w:p w14:paraId="324106ED">
      <w:pPr>
        <w:pStyle w:val="2"/>
        <w:spacing w:before="22" w:line="294" w:lineRule="auto"/>
        <w:ind w:left="553" w:right="568" w:hanging="2"/>
      </w:pPr>
      <w:r>
        <w:rPr>
          <w:spacing w:val="-2"/>
        </w:rPr>
        <w:t>PLCgamma-PKC and</w:t>
      </w:r>
      <w:r>
        <w:rPr>
          <w:spacing w:val="20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 </w:t>
      </w:r>
      <w:r>
        <w:rPr>
          <w:spacing w:val="-1"/>
        </w:rPr>
        <w:t>lung</w:t>
      </w:r>
      <w:r>
        <w:rPr>
          <w:spacing w:val="8"/>
        </w:rPr>
        <w:t xml:space="preserve"> </w:t>
      </w:r>
      <w:r>
        <w:rPr>
          <w:spacing w:val="-1"/>
        </w:rPr>
        <w:t>cancer</w:t>
      </w:r>
    </w:p>
    <w:p w14:paraId="1D4CE05F">
      <w:pPr>
        <w:pStyle w:val="2"/>
        <w:spacing w:before="32" w:line="191" w:lineRule="auto"/>
        <w:ind w:left="556"/>
      </w:pPr>
      <w:r>
        <w:rPr>
          <w:spacing w:val="3"/>
        </w:rPr>
        <w:t>(</w:t>
      </w:r>
      <w:r>
        <w:t>LNCR</w:t>
      </w:r>
      <w:r>
        <w:rPr>
          <w:spacing w:val="3"/>
        </w:rPr>
        <w:t>).</w:t>
      </w:r>
    </w:p>
    <w:p w14:paraId="152B7A6F">
      <w:pPr>
        <w:pStyle w:val="2"/>
        <w:spacing w:before="119" w:line="300" w:lineRule="auto"/>
        <w:ind w:left="549" w:right="847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G</w:t>
      </w:r>
      <w:r>
        <w:rPr>
          <w:spacing w:val="1"/>
        </w:rPr>
        <w:t xml:space="preserve">863D,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3F9DAB00">
      <w:pPr>
        <w:pStyle w:val="2"/>
        <w:spacing w:before="31" w:line="310" w:lineRule="auto"/>
        <w:ind w:left="551" w:right="910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2923F27B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49A3AF4D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3"/>
        </w:rPr>
        <w:t xml:space="preserve">          </w:t>
      </w:r>
      <w:r>
        <w:rPr>
          <w:spacing w:val="-2"/>
        </w:rPr>
        <w:t>1:1000-1:5000</w:t>
      </w:r>
    </w:p>
    <w:p w14:paraId="46967B55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5EFFCD2A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2"/>
          <w:w w:val="101"/>
        </w:rPr>
        <w:t xml:space="preserve"> </w:t>
      </w:r>
      <w:r>
        <w:rPr>
          <w:spacing w:val="-2"/>
        </w:rPr>
        <w:t>1 mg/ml</w:t>
      </w:r>
    </w:p>
    <w:p w14:paraId="5594CC6D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6AD14DBE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5CB14A50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5E9D0B5F">
      <w:pPr>
        <w:pStyle w:val="2"/>
        <w:spacing w:before="120" w:line="298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1BA2C82C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044524C0">
      <w:pPr>
        <w:pStyle w:val="2"/>
        <w:spacing w:before="26" w:line="307" w:lineRule="auto"/>
        <w:ind w:left="555" w:right="507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6493B613">
      <w:pPr>
        <w:pStyle w:val="2"/>
        <w:spacing w:before="42" w:line="294" w:lineRule="auto"/>
        <w:ind w:left="547" w:right="362" w:firstLine="11"/>
      </w:pPr>
      <w:r>
        <w:rPr>
          <w:b/>
          <w:bCs/>
        </w:rPr>
        <w:t xml:space="preserve">Species Reactivity: </w:t>
      </w:r>
      <w:r>
        <w:t xml:space="preserve">Recognizes EGFR </w:t>
      </w:r>
      <w:r>
        <w:rPr>
          <w:spacing w:val="-1"/>
        </w:rPr>
        <w:t>(G863D),</w:t>
      </w:r>
      <w:r>
        <w:t xml:space="preserve"> but not wild type EGFR from vertebrates.</w:t>
      </w:r>
    </w:p>
    <w:p w14:paraId="64CDC6BB">
      <w:pPr>
        <w:pStyle w:val="2"/>
        <w:spacing w:before="31" w:line="251" w:lineRule="auto"/>
        <w:ind w:left="556" w:right="881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3F859C5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BFE26FF">
      <w:pPr>
        <w:pStyle w:val="2"/>
        <w:spacing w:before="67" w:line="229" w:lineRule="auto"/>
      </w:pPr>
      <w:r>
        <w:rPr>
          <w:b/>
          <w:bCs/>
          <w:spacing w:val="-1"/>
        </w:rPr>
        <w:t>Western blot:</w:t>
      </w:r>
    </w:p>
    <w:p w14:paraId="4731E60F">
      <w:pPr>
        <w:spacing w:before="109" w:line="3218" w:lineRule="exact"/>
        <w:ind w:firstLine="1144"/>
      </w:pPr>
      <w:r>
        <w:rPr>
          <w:position w:val="-64"/>
        </w:rPr>
        <w:drawing>
          <wp:inline distT="0" distB="0" distL="0" distR="0">
            <wp:extent cx="1470025" cy="204279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0151" cy="204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B3944">
      <w:pPr>
        <w:pStyle w:val="2"/>
        <w:spacing w:before="182" w:line="294" w:lineRule="auto"/>
        <w:ind w:left="6" w:right="1174" w:hanging="5"/>
      </w:pPr>
      <w:r>
        <w:t>Western blot analysis of</w:t>
      </w:r>
      <w:r>
        <w:rPr>
          <w:spacing w:val="-19"/>
        </w:rPr>
        <w:t xml:space="preserve"> </w:t>
      </w:r>
      <w:r>
        <w:t xml:space="preserve">recombinant EGFR (G863D) and wildtype proteins. </w:t>
      </w:r>
      <w:r>
        <w:rPr>
          <w:spacing w:val="-1"/>
        </w:rPr>
        <w:t>Purified</w:t>
      </w:r>
    </w:p>
    <w:p w14:paraId="7D4BB939">
      <w:pPr>
        <w:pStyle w:val="2"/>
        <w:spacing w:before="32" w:line="191" w:lineRule="auto"/>
        <w:ind w:left="2"/>
      </w:pPr>
      <w:r>
        <w:t xml:space="preserve">His-tagged EGFR (G863D) protein (amino </w:t>
      </w:r>
      <w:r>
        <w:rPr>
          <w:spacing w:val="-1"/>
        </w:rPr>
        <w:t>acid</w:t>
      </w:r>
    </w:p>
    <w:p w14:paraId="7A6DDB04">
      <w:pPr>
        <w:pStyle w:val="2"/>
        <w:spacing w:before="120" w:line="191" w:lineRule="auto"/>
        <w:ind w:left="6"/>
      </w:pPr>
      <w:r>
        <w:t>702-987) (Cat. #10222) and correspon</w:t>
      </w:r>
      <w:r>
        <w:rPr>
          <w:spacing w:val="-1"/>
        </w:rPr>
        <w:t>ding</w:t>
      </w:r>
    </w:p>
    <w:p w14:paraId="06770E78">
      <w:pPr>
        <w:pStyle w:val="2"/>
        <w:spacing w:before="120" w:line="302" w:lineRule="auto"/>
        <w:ind w:left="6" w:right="692" w:hanging="6"/>
      </w:pPr>
      <w:r>
        <w:t>wild-type protein (Cat. #10210) were blotted wi</w:t>
      </w:r>
      <w:r>
        <w:rPr>
          <w:spacing w:val="-1"/>
        </w:rPr>
        <w:t>th</w:t>
      </w:r>
      <w:r>
        <w:t xml:space="preserve"> anti-EGFR (G863D) mouse monoclonal an</w:t>
      </w:r>
      <w:r>
        <w:rPr>
          <w:spacing w:val="-1"/>
        </w:rPr>
        <w:t>tibody</w:t>
      </w:r>
      <w:r>
        <w:t xml:space="preserve"> (Cat. #26119). Proteins loading we</w:t>
      </w:r>
      <w:r>
        <w:rPr>
          <w:spacing w:val="-1"/>
        </w:rPr>
        <w:t>re blotted with</w:t>
      </w:r>
      <w:r>
        <w:t xml:space="preserve">  anti-His-tag monoclonal antibody (Cat. #28004).</w:t>
      </w:r>
    </w:p>
    <w:p w14:paraId="4BB2E473">
      <w:pPr>
        <w:spacing w:line="302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3" w:space="100"/>
            <w:col w:w="4885"/>
          </w:cols>
        </w:sectPr>
      </w:pPr>
    </w:p>
    <w:p w14:paraId="562F45F0">
      <w:pPr>
        <w:spacing w:line="447" w:lineRule="auto"/>
        <w:rPr>
          <w:rFonts w:ascii="Arial"/>
          <w:sz w:val="21"/>
        </w:rPr>
      </w:pPr>
    </w:p>
    <w:p w14:paraId="2784A6EB">
      <w:pPr>
        <w:spacing w:line="1305" w:lineRule="exact"/>
        <w:ind w:firstLine="540"/>
      </w:pPr>
    </w:p>
    <w:p w14:paraId="34676326">
      <w:pPr>
        <w:spacing w:before="190" w:line="60" w:lineRule="exact"/>
      </w:pPr>
      <w:r>
        <w:rPr>
          <w:position w:val="-1"/>
        </w:rPr>
        <w:pict>
          <v:shape id="_x0000_s1027" o:spid="_x0000_s1027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95F0A1E">
      <w:pPr>
        <w:pStyle w:val="2"/>
        <w:spacing w:before="17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6F6377E3">
      <w:pPr>
        <w:spacing w:before="81" w:line="4565" w:lineRule="exact"/>
        <w:ind w:firstLine="621"/>
      </w:pPr>
      <w:r>
        <w:rPr>
          <w:position w:val="-91"/>
        </w:rPr>
        <w:drawing>
          <wp:inline distT="0" distB="0" distL="0" distR="0">
            <wp:extent cx="2710815" cy="28981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1195" cy="289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56109">
      <w:pPr>
        <w:pStyle w:val="2"/>
        <w:spacing w:before="114" w:line="295" w:lineRule="auto"/>
        <w:ind w:left="544" w:right="5337"/>
      </w:pPr>
      <w:r>
        <w:rPr>
          <w:b/>
          <w:bCs/>
        </w:rPr>
        <w:t>Immunofluorescence of cells expres</w:t>
      </w:r>
      <w:r>
        <w:rPr>
          <w:b/>
          <w:bCs/>
          <w:spacing w:val="-1"/>
        </w:rPr>
        <w:t>sing EGFR</w:t>
      </w:r>
      <w:r>
        <w:rPr>
          <w:b/>
          <w:bCs/>
        </w:rPr>
        <w:t xml:space="preserve"> proteins with anti-EGFR (G863D) ant</w:t>
      </w:r>
      <w:r>
        <w:rPr>
          <w:b/>
          <w:bCs/>
          <w:spacing w:val="-1"/>
        </w:rPr>
        <w:t>ibody.</w:t>
      </w:r>
    </w:p>
    <w:p w14:paraId="4D055C52">
      <w:pPr>
        <w:pStyle w:val="2"/>
        <w:spacing w:before="26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5F8BBF25">
      <w:pPr>
        <w:pStyle w:val="2"/>
        <w:spacing w:before="76" w:line="300" w:lineRule="auto"/>
        <w:ind w:left="547" w:right="5243" w:hanging="7"/>
      </w:pPr>
      <w:r>
        <w:t>pCDNA3-GFP-EGFR (WT) plasmid (left column)</w:t>
      </w:r>
      <w:r>
        <w:rPr>
          <w:spacing w:val="7"/>
        </w:rPr>
        <w:t xml:space="preserve"> </w:t>
      </w:r>
      <w:r>
        <w:t>or pCDNA3-GFP-EGFR (G863D) plasmi</w:t>
      </w:r>
      <w:r>
        <w:rPr>
          <w:spacing w:val="-1"/>
        </w:rPr>
        <w:t>d (right</w:t>
      </w:r>
      <w:r>
        <w:t xml:space="preserve">   column), then fixed and stained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anti-EGFR</w:t>
      </w:r>
    </w:p>
    <w:p w14:paraId="142D28E0">
      <w:pPr>
        <w:pStyle w:val="2"/>
        <w:spacing w:before="32" w:line="191" w:lineRule="auto"/>
        <w:ind w:left="549"/>
      </w:pPr>
      <w:r>
        <w:t>(G863D) monoclonal antibody (Cat. #26119).</w:t>
      </w:r>
    </w:p>
    <w:p w14:paraId="67F13DC9">
      <w:pPr>
        <w:spacing w:line="242" w:lineRule="auto"/>
        <w:rPr>
          <w:rFonts w:ascii="Arial"/>
          <w:sz w:val="21"/>
        </w:rPr>
      </w:pPr>
    </w:p>
    <w:p w14:paraId="7F999CD0">
      <w:pPr>
        <w:spacing w:line="242" w:lineRule="auto"/>
        <w:rPr>
          <w:rFonts w:ascii="Arial"/>
          <w:sz w:val="21"/>
        </w:rPr>
      </w:pPr>
    </w:p>
    <w:p w14:paraId="026A60D9">
      <w:pPr>
        <w:spacing w:line="243" w:lineRule="auto"/>
        <w:rPr>
          <w:rFonts w:ascii="Arial"/>
          <w:sz w:val="21"/>
        </w:rPr>
      </w:pPr>
    </w:p>
    <w:p w14:paraId="23EB6258">
      <w:pPr>
        <w:spacing w:line="243" w:lineRule="auto"/>
        <w:rPr>
          <w:rFonts w:ascii="Arial"/>
          <w:sz w:val="21"/>
        </w:rPr>
      </w:pPr>
    </w:p>
    <w:p w14:paraId="70CFB11C">
      <w:pPr>
        <w:spacing w:line="243" w:lineRule="auto"/>
        <w:rPr>
          <w:rFonts w:ascii="Arial"/>
          <w:sz w:val="21"/>
        </w:rPr>
      </w:pPr>
    </w:p>
    <w:p w14:paraId="1F31BE3A">
      <w:pPr>
        <w:spacing w:line="243" w:lineRule="auto"/>
        <w:rPr>
          <w:rFonts w:ascii="Arial"/>
          <w:sz w:val="21"/>
        </w:rPr>
      </w:pPr>
    </w:p>
    <w:p w14:paraId="384A241E">
      <w:pPr>
        <w:spacing w:line="243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6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606FCC9">
      <w:pPr>
        <w:spacing w:line="243" w:lineRule="auto"/>
        <w:rPr>
          <w:rFonts w:ascii="Arial"/>
          <w:sz w:val="21"/>
        </w:rPr>
      </w:pPr>
      <w:bookmarkStart w:id="0" w:name="_GoBack"/>
      <w:bookmarkEnd w:id="0"/>
    </w:p>
    <w:p w14:paraId="48172FBA">
      <w:pPr>
        <w:spacing w:line="243" w:lineRule="auto"/>
        <w:rPr>
          <w:rFonts w:ascii="Arial"/>
          <w:sz w:val="21"/>
        </w:rPr>
      </w:pPr>
    </w:p>
    <w:p w14:paraId="6B46EF2E">
      <w:pPr>
        <w:spacing w:line="243" w:lineRule="auto"/>
        <w:rPr>
          <w:rFonts w:ascii="Arial"/>
          <w:sz w:val="21"/>
        </w:rPr>
      </w:pPr>
    </w:p>
    <w:p w14:paraId="5F8E7BB0">
      <w:pPr>
        <w:spacing w:line="243" w:lineRule="auto"/>
        <w:rPr>
          <w:rFonts w:ascii="Arial"/>
          <w:sz w:val="21"/>
        </w:rPr>
      </w:pPr>
    </w:p>
    <w:p w14:paraId="36CB5DAE">
      <w:pPr>
        <w:spacing w:line="243" w:lineRule="auto"/>
        <w:rPr>
          <w:rFonts w:ascii="Arial"/>
          <w:sz w:val="21"/>
        </w:rPr>
      </w:pPr>
    </w:p>
    <w:p w14:paraId="4CCD14B4">
      <w:pPr>
        <w:spacing w:line="243" w:lineRule="auto"/>
        <w:rPr>
          <w:rFonts w:ascii="Arial"/>
          <w:sz w:val="21"/>
        </w:rPr>
      </w:pPr>
    </w:p>
    <w:p w14:paraId="34E4EFB5">
      <w:pPr>
        <w:spacing w:before="1" w:line="60" w:lineRule="exact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36A90C8">
      <w:pPr>
        <w:spacing w:before="193" w:line="196" w:lineRule="auto"/>
        <w:ind w:left="2061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19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3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Not for diagnostic or therapeutic</w:t>
      </w:r>
      <w:r>
        <w:rPr>
          <w:rFonts w:ascii="Arial" w:hAnsi="Arial" w:eastAsia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sectPr>
      <w:headerReference r:id="rId6" w:type="default"/>
      <w:footerReference r:id="rId7" w:type="default"/>
      <w:pgSz w:w="11907" w:h="16839"/>
      <w:pgMar w:top="400" w:right="596" w:bottom="1645" w:left="1260" w:header="0" w:footer="12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ED79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F8084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160780" cy="1080135"/>
          <wp:effectExtent l="0" t="0" r="1270" b="571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0780" cy="10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D8DD83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49DC2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11D54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246</Words>
  <Characters>1616</Characters>
  <TotalTime>1</TotalTime>
  <ScaleCrop>false</ScaleCrop>
  <LinksUpToDate>false</LinksUpToDate>
  <CharactersWithSpaces>1857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2012-11-06T13:47:00Z</dcterms:created>
  <dc:creator>詹焱程</dc:creator>
  <cp:keywords>26119</cp:keywords>
  <cp:lastModifiedBy>周亿福</cp:lastModifiedBy>
  <dcterms:modified xsi:type="dcterms:W3CDTF">2025-08-14T04:46:39Z</dcterms:modified>
  <dc:subject>Datesheet</dc:subject>
  <dc:title>EGFR（G863D）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7980284970C445398FD206E434593223_12</vt:lpwstr>
  </property>
</Properties>
</file>