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F4FB72">
      <w:pPr>
        <w:pStyle w:val="2"/>
        <w:spacing w:before="287" w:line="190" w:lineRule="auto"/>
        <w:ind w:left="553"/>
        <w:outlineLvl w:val="0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IDH2(R172H)</w:t>
      </w:r>
    </w:p>
    <w:p w14:paraId="796F9C72">
      <w:pPr>
        <w:pStyle w:val="2"/>
        <w:spacing w:before="227" w:line="191" w:lineRule="auto"/>
        <w:ind w:left="556"/>
      </w:pPr>
      <w:r>
        <w:rPr>
          <w:b/>
          <w:bCs/>
          <w:spacing w:val="-1"/>
        </w:rPr>
        <w:t xml:space="preserve">Catalog Number: 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spacing w:val="-1"/>
        </w:rPr>
        <w:t>26084</w:t>
      </w:r>
    </w:p>
    <w:p w14:paraId="654D3019">
      <w:pPr>
        <w:pStyle w:val="2"/>
        <w:spacing w:before="119" w:line="191" w:lineRule="auto"/>
        <w:ind w:left="556"/>
      </w:pPr>
      <w:r>
        <w:rPr>
          <w:b/>
          <w:bCs/>
          <w:spacing w:val="-1"/>
        </w:rPr>
        <w:t xml:space="preserve">Gene Symbol: </w:t>
      </w:r>
      <w:r>
        <w:rPr>
          <w:spacing w:val="-1"/>
        </w:rPr>
        <w:t>IDH2(R172H)</w:t>
      </w:r>
    </w:p>
    <w:p w14:paraId="15D4B774">
      <w:pPr>
        <w:pStyle w:val="2"/>
        <w:spacing w:before="119" w:line="191" w:lineRule="auto"/>
        <w:ind w:left="550"/>
      </w:pPr>
      <w:r>
        <w:pict>
          <v:shape id="_x0000_s1026" o:spid="_x0000_s1026" style="position:absolute;left:0pt;margin-left:0.35pt;margin-top:25.1pt;height:0.75pt;width:477.75pt;z-index:251659264;mso-width-relative:page;mso-height-relative:page;" filled="f" stroked="t" coordsize="9555,15" path="m7,7l9547,7e">
            <v:fill on="f" focussize="0,0"/>
            <v:stroke color="#000000" miterlimit="10" endcap="round"/>
            <v:imagedata o:title=""/>
            <o:lock v:ext="edit"/>
          </v:shape>
        </w:pict>
      </w:r>
      <w:r>
        <w:rPr>
          <w:b/>
          <w:bCs/>
        </w:rPr>
        <w:t xml:space="preserve">Description: </w:t>
      </w:r>
      <w:r>
        <w:t>Anti-IDH2(R172H) Mouse Monoclonal</w:t>
      </w:r>
      <w:r>
        <w:rPr>
          <w:spacing w:val="-11"/>
        </w:rPr>
        <w:t xml:space="preserve"> </w:t>
      </w:r>
      <w:r>
        <w:t>Antibody</w:t>
      </w:r>
    </w:p>
    <w:p w14:paraId="076BE70D">
      <w:pPr>
        <w:spacing w:before="128"/>
      </w:pPr>
    </w:p>
    <w:p w14:paraId="7129125F">
      <w:pPr>
        <w:sectPr>
          <w:headerReference r:id="rId5" w:type="default"/>
          <w:pgSz w:w="11907" w:h="16839"/>
          <w:pgMar w:top="2406" w:right="596" w:bottom="2072" w:left="1252" w:header="850" w:footer="995" w:gutter="0"/>
          <w:cols w:equalWidth="0" w:num="1">
            <w:col w:w="10058"/>
          </w:cols>
        </w:sectPr>
      </w:pPr>
    </w:p>
    <w:p w14:paraId="458069D9">
      <w:pPr>
        <w:pStyle w:val="2"/>
        <w:spacing w:before="38" w:line="191" w:lineRule="auto"/>
        <w:ind w:left="552"/>
      </w:pPr>
      <w:r>
        <w:rPr>
          <w:b/>
          <w:bCs/>
        </w:rPr>
        <w:t xml:space="preserve">Background: </w:t>
      </w:r>
      <w:r>
        <w:rPr>
          <w:u w:val="single" w:color="auto"/>
        </w:rPr>
        <w:t>I</w:t>
      </w:r>
      <w:r>
        <w:t xml:space="preserve">socitrate </w:t>
      </w:r>
      <w:r>
        <w:rPr>
          <w:u w:val="single" w:color="auto"/>
        </w:rPr>
        <w:t>deh</w:t>
      </w:r>
      <w:r>
        <w:t>ydrogenas</w:t>
      </w:r>
      <w:r>
        <w:rPr>
          <w:spacing w:val="-1"/>
        </w:rPr>
        <w:t>e (IDH)</w:t>
      </w:r>
    </w:p>
    <w:p w14:paraId="64CDB9DC">
      <w:pPr>
        <w:pStyle w:val="2"/>
        <w:spacing w:before="120" w:line="191" w:lineRule="auto"/>
        <w:ind w:left="555"/>
      </w:pPr>
      <w:r>
        <w:t>catalyze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oxidative</w:t>
      </w:r>
      <w:r>
        <w:rPr>
          <w:spacing w:val="3"/>
        </w:rPr>
        <w:t xml:space="preserve"> </w:t>
      </w:r>
      <w:r>
        <w:t>decarboxylation</w:t>
      </w:r>
      <w:r>
        <w:rPr>
          <w:spacing w:val="3"/>
        </w:rPr>
        <w:t xml:space="preserve"> </w:t>
      </w:r>
      <w:r>
        <w:t>of</w:t>
      </w:r>
    </w:p>
    <w:p w14:paraId="7BF6B86F">
      <w:pPr>
        <w:pStyle w:val="2"/>
        <w:spacing w:before="120" w:line="191" w:lineRule="auto"/>
        <w:ind w:left="554"/>
      </w:pPr>
      <w:r>
        <w:t>isocitrate to 2-oxoglutarate. The isocitrat</w:t>
      </w:r>
      <w:r>
        <w:rPr>
          <w:spacing w:val="-1"/>
        </w:rPr>
        <w:t>e and</w:t>
      </w:r>
    </w:p>
    <w:p w14:paraId="1E68411A">
      <w:pPr>
        <w:pStyle w:val="2"/>
        <w:spacing w:before="120" w:line="191" w:lineRule="auto"/>
        <w:ind w:left="554"/>
      </w:pPr>
      <w:r>
        <w:t>isopropylmalate dehydrogenases fa</w:t>
      </w:r>
      <w:r>
        <w:rPr>
          <w:spacing w:val="-1"/>
        </w:rPr>
        <w:t>mily has</w:t>
      </w:r>
    </w:p>
    <w:p w14:paraId="35BD399B">
      <w:pPr>
        <w:pStyle w:val="2"/>
        <w:spacing w:before="120" w:line="201" w:lineRule="auto"/>
        <w:ind w:left="550"/>
      </w:pPr>
      <w:r>
        <w:t>three members, IDH1, IDH2 and IDH3. ID</w:t>
      </w:r>
      <w:r>
        <w:rPr>
          <w:spacing w:val="-1"/>
        </w:rPr>
        <w:t>H2</w:t>
      </w:r>
    </w:p>
    <w:p w14:paraId="0D7B560B">
      <w:pPr>
        <w:pStyle w:val="2"/>
        <w:spacing w:before="110" w:line="191" w:lineRule="auto"/>
        <w:ind w:left="547"/>
      </w:pPr>
      <w:r>
        <w:t>plays a role in intermediary metabolism and</w:t>
      </w:r>
    </w:p>
    <w:p w14:paraId="169ED7F4">
      <w:pPr>
        <w:pStyle w:val="2"/>
        <w:spacing w:before="120" w:line="191" w:lineRule="auto"/>
        <w:ind w:left="555"/>
      </w:pPr>
      <w:r>
        <w:t>energy production. Defects in I</w:t>
      </w:r>
      <w:r>
        <w:rPr>
          <w:spacing w:val="-1"/>
        </w:rPr>
        <w:t>DH2 are the</w:t>
      </w:r>
    </w:p>
    <w:p w14:paraId="217CF117">
      <w:pPr>
        <w:pStyle w:val="2"/>
        <w:spacing w:before="119" w:line="191" w:lineRule="auto"/>
        <w:ind w:left="555"/>
      </w:pPr>
      <w:r>
        <w:t>cause</w:t>
      </w:r>
      <w:r>
        <w:rPr>
          <w:spacing w:val="1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D</w:t>
      </w:r>
      <w:r>
        <w:rPr>
          <w:spacing w:val="1"/>
        </w:rPr>
        <w:t>-2-</w:t>
      </w:r>
      <w:r>
        <w:t>hydroxyglutaric</w:t>
      </w:r>
      <w:r>
        <w:rPr>
          <w:spacing w:val="1"/>
        </w:rPr>
        <w:t xml:space="preserve"> </w:t>
      </w:r>
      <w:r>
        <w:t>aciduria</w:t>
      </w:r>
      <w:r>
        <w:rPr>
          <w:spacing w:val="1"/>
        </w:rPr>
        <w:t xml:space="preserve"> </w:t>
      </w:r>
      <w:r>
        <w:t>type</w:t>
      </w:r>
      <w:r>
        <w:rPr>
          <w:spacing w:val="1"/>
        </w:rPr>
        <w:t xml:space="preserve"> 2</w:t>
      </w:r>
    </w:p>
    <w:p w14:paraId="05E566AC">
      <w:pPr>
        <w:pStyle w:val="2"/>
        <w:spacing w:before="120" w:line="192" w:lineRule="auto"/>
        <w:ind w:left="556"/>
      </w:pPr>
      <w:r>
        <w:t>(D2HGA2).</w:t>
      </w:r>
      <w:r>
        <w:rPr>
          <w:spacing w:val="14"/>
        </w:rPr>
        <w:t xml:space="preserve"> </w:t>
      </w:r>
      <w:r>
        <w:t>Somatic mosaic mutations of</w:t>
      </w:r>
      <w:r>
        <w:rPr>
          <w:spacing w:val="-21"/>
        </w:rPr>
        <w:t xml:space="preserve"> </w:t>
      </w:r>
      <w:r>
        <w:t>th</w:t>
      </w:r>
      <w:r>
        <w:rPr>
          <w:spacing w:val="-1"/>
        </w:rPr>
        <w:t>is</w:t>
      </w:r>
    </w:p>
    <w:p w14:paraId="216BFF01">
      <w:pPr>
        <w:pStyle w:val="2"/>
        <w:spacing w:before="119" w:line="294" w:lineRule="auto"/>
        <w:ind w:left="554" w:right="422" w:hanging="7"/>
      </w:pPr>
      <w:r>
        <w:t>protein have also been found associated to Ollier</w:t>
      </w:r>
      <w:r>
        <w:rPr>
          <w:spacing w:val="1"/>
        </w:rPr>
        <w:t xml:space="preserve"> </w:t>
      </w:r>
      <w:r>
        <w:t>disease and Maffucci syndro</w:t>
      </w:r>
      <w:r>
        <w:rPr>
          <w:spacing w:val="-1"/>
        </w:rPr>
        <w:t>me., and</w:t>
      </w:r>
      <w:r>
        <w:rPr>
          <w:spacing w:val="4"/>
        </w:rPr>
        <w:t xml:space="preserve"> </w:t>
      </w:r>
      <w:r>
        <w:rPr>
          <w:spacing w:val="-1"/>
        </w:rPr>
        <w:t>R172H</w:t>
      </w:r>
    </w:p>
    <w:p w14:paraId="3A02FE59">
      <w:pPr>
        <w:pStyle w:val="2"/>
        <w:spacing w:before="33" w:line="294" w:lineRule="auto"/>
        <w:ind w:left="554" w:right="506" w:hanging="1"/>
      </w:pPr>
      <w:r>
        <w:t>IDH2 mutations do exist in dif</w:t>
      </w:r>
      <w:r>
        <w:rPr>
          <w:spacing w:val="-1"/>
        </w:rPr>
        <w:t>fusely</w:t>
      </w:r>
      <w:r>
        <w:rPr>
          <w:spacing w:val="5"/>
        </w:rPr>
        <w:t xml:space="preserve"> </w:t>
      </w:r>
      <w:r>
        <w:rPr>
          <w:spacing w:val="-1"/>
        </w:rPr>
        <w:t>infiltrative</w:t>
      </w:r>
      <w:r>
        <w:t xml:space="preserve"> </w:t>
      </w:r>
      <w:r>
        <w:rPr>
          <w:spacing w:val="-2"/>
        </w:rPr>
        <w:t>gliomas.</w:t>
      </w:r>
    </w:p>
    <w:p w14:paraId="059232EB">
      <w:pPr>
        <w:pStyle w:val="2"/>
        <w:spacing w:before="31" w:line="300" w:lineRule="auto"/>
        <w:ind w:left="549" w:right="904" w:firstLine="2"/>
      </w:pPr>
      <w:r>
        <w:rPr>
          <w:b/>
          <w:bCs/>
        </w:rPr>
        <w:t>Immunogen:</w:t>
      </w:r>
      <w:r>
        <w:rPr>
          <w:b/>
          <w:bCs/>
          <w:spacing w:val="-11"/>
        </w:rPr>
        <w:t xml:space="preserve"> </w:t>
      </w:r>
      <w:r>
        <w:t>A synthet</w:t>
      </w:r>
      <w:r>
        <w:rPr>
          <w:spacing w:val="-1"/>
        </w:rPr>
        <w:t>ic peptide from the</w:t>
      </w:r>
      <w:r>
        <w:t xml:space="preserve">  internal</w:t>
      </w:r>
      <w:r>
        <w:rPr>
          <w:spacing w:val="9"/>
        </w:rPr>
        <w:t xml:space="preserve"> </w:t>
      </w:r>
      <w:r>
        <w:t>region</w:t>
      </w:r>
      <w:r>
        <w:rPr>
          <w:spacing w:val="9"/>
        </w:rPr>
        <w:t xml:space="preserve"> </w:t>
      </w:r>
      <w:r>
        <w:t>ofIDH</w:t>
      </w:r>
      <w:r>
        <w:rPr>
          <w:spacing w:val="9"/>
        </w:rPr>
        <w:t xml:space="preserve">2 </w:t>
      </w:r>
      <w:r>
        <w:t>which</w:t>
      </w:r>
      <w:r>
        <w:rPr>
          <w:spacing w:val="9"/>
        </w:rPr>
        <w:t xml:space="preserve"> </w:t>
      </w:r>
      <w:r>
        <w:t>includes</w:t>
      </w:r>
      <w:r>
        <w:rPr>
          <w:spacing w:val="9"/>
        </w:rPr>
        <w:t xml:space="preserve"> </w:t>
      </w:r>
      <w:r>
        <w:t>the mutation</w:t>
      </w:r>
      <w:r>
        <w:rPr>
          <w:spacing w:val="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R</w:t>
      </w:r>
      <w:r>
        <w:rPr>
          <w:spacing w:val="1"/>
        </w:rPr>
        <w:t xml:space="preserve">172H, </w:t>
      </w:r>
      <w:r>
        <w:t>human</w:t>
      </w:r>
      <w:r>
        <w:rPr>
          <w:spacing w:val="1"/>
        </w:rPr>
        <w:t xml:space="preserve"> </w:t>
      </w:r>
      <w:r>
        <w:t>origin</w:t>
      </w:r>
      <w:r>
        <w:rPr>
          <w:spacing w:val="1"/>
        </w:rPr>
        <w:t>.</w:t>
      </w:r>
    </w:p>
    <w:p w14:paraId="0B53E90B">
      <w:pPr>
        <w:pStyle w:val="2"/>
        <w:spacing w:before="32" w:line="310" w:lineRule="auto"/>
        <w:ind w:left="551" w:right="1184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>ELISA, WB, IHC</w:t>
      </w:r>
      <w:r>
        <w:rPr>
          <w:spacing w:val="6"/>
        </w:rPr>
        <w:t xml:space="preserve"> </w:t>
      </w:r>
      <w:r>
        <w:rPr>
          <w:b/>
          <w:bCs/>
        </w:rPr>
        <w:t>Recommended dilution</w:t>
      </w:r>
      <w:r>
        <w:rPr>
          <w:b/>
          <w:bCs/>
          <w:spacing w:val="-1"/>
        </w:rPr>
        <w:t>s:</w:t>
      </w:r>
    </w:p>
    <w:p w14:paraId="5591FA1F">
      <w:pPr>
        <w:pStyle w:val="2"/>
        <w:spacing w:before="1" w:line="232" w:lineRule="auto"/>
        <w:ind w:left="552"/>
      </w:pPr>
      <w:r>
        <w:rPr>
          <w:spacing w:val="-2"/>
        </w:rPr>
        <w:t>ELISA:</w:t>
      </w:r>
      <w:r>
        <w:rPr>
          <w:spacing w:val="8"/>
        </w:rPr>
        <w:t xml:space="preserve">    </w:t>
      </w:r>
      <w:r>
        <w:rPr>
          <w:spacing w:val="-2"/>
        </w:rPr>
        <w:t>1:1000-1:5000</w:t>
      </w:r>
    </w:p>
    <w:p w14:paraId="750FDF7C">
      <w:pPr>
        <w:pStyle w:val="2"/>
        <w:spacing w:before="77" w:line="233" w:lineRule="auto"/>
        <w:ind w:left="550"/>
      </w:pPr>
      <w:r>
        <w:rPr>
          <w:spacing w:val="-2"/>
        </w:rPr>
        <w:t>WB:</w:t>
      </w:r>
      <w:r>
        <w:rPr>
          <w:spacing w:val="2"/>
        </w:rPr>
        <w:t xml:space="preserve">          </w:t>
      </w:r>
      <w:r>
        <w:rPr>
          <w:spacing w:val="-2"/>
        </w:rPr>
        <w:t>1:100-1:1000</w:t>
      </w:r>
    </w:p>
    <w:p w14:paraId="302A6353">
      <w:pPr>
        <w:pStyle w:val="2"/>
        <w:spacing w:before="78" w:line="233" w:lineRule="auto"/>
        <w:ind w:left="553"/>
      </w:pPr>
      <w:r>
        <w:rPr>
          <w:spacing w:val="-3"/>
        </w:rPr>
        <w:t>IHC:</w:t>
      </w:r>
      <w:r>
        <w:rPr>
          <w:spacing w:val="4"/>
        </w:rPr>
        <w:t xml:space="preserve">        </w:t>
      </w:r>
      <w:r>
        <w:rPr>
          <w:spacing w:val="-3"/>
        </w:rPr>
        <w:t>1:50-1:100</w:t>
      </w:r>
    </w:p>
    <w:p w14:paraId="333DB3FC">
      <w:pPr>
        <w:pStyle w:val="2"/>
        <w:spacing w:before="78" w:line="233" w:lineRule="auto"/>
        <w:ind w:left="553"/>
      </w:pPr>
      <w:r>
        <w:rPr>
          <w:spacing w:val="-3"/>
        </w:rPr>
        <w:t>IF:</w:t>
      </w:r>
      <w:r>
        <w:rPr>
          <w:spacing w:val="2"/>
        </w:rPr>
        <w:t xml:space="preserve">            </w:t>
      </w:r>
      <w:r>
        <w:rPr>
          <w:spacing w:val="-3"/>
        </w:rPr>
        <w:t>1:50-1:100</w:t>
      </w:r>
    </w:p>
    <w:p w14:paraId="7FF2BD7C">
      <w:pPr>
        <w:pStyle w:val="2"/>
        <w:spacing w:before="77" w:line="191" w:lineRule="auto"/>
        <w:ind w:left="556"/>
      </w:pPr>
      <w:r>
        <w:rPr>
          <w:b/>
          <w:bCs/>
          <w:spacing w:val="-2"/>
        </w:rPr>
        <w:t>Concentration:</w:t>
      </w:r>
      <w:r>
        <w:rPr>
          <w:b/>
          <w:bCs/>
          <w:spacing w:val="33"/>
        </w:rPr>
        <w:t xml:space="preserve"> </w:t>
      </w:r>
      <w:r>
        <w:rPr>
          <w:spacing w:val="-2"/>
        </w:rPr>
        <w:t>1 mg/ml</w:t>
      </w:r>
    </w:p>
    <w:p w14:paraId="6CE6A878">
      <w:pPr>
        <w:pStyle w:val="2"/>
        <w:spacing w:before="127" w:line="184" w:lineRule="auto"/>
        <w:ind w:left="552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00BC8F7E">
      <w:pPr>
        <w:pStyle w:val="2"/>
        <w:spacing w:before="120" w:line="191" w:lineRule="auto"/>
        <w:ind w:left="556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070B1EEB">
      <w:pPr>
        <w:pStyle w:val="2"/>
        <w:spacing w:before="120" w:line="191" w:lineRule="auto"/>
        <w:ind w:left="553"/>
      </w:pPr>
      <w:r>
        <w:rPr>
          <w:b/>
          <w:bCs/>
        </w:rPr>
        <w:t xml:space="preserve">Purity: </w:t>
      </w:r>
      <w:r>
        <w:t>Purified from a</w:t>
      </w:r>
      <w:r>
        <w:rPr>
          <w:spacing w:val="-1"/>
        </w:rPr>
        <w:t>scites</w:t>
      </w:r>
    </w:p>
    <w:p w14:paraId="30F0C798">
      <w:pPr>
        <w:pStyle w:val="2"/>
        <w:spacing w:before="120" w:line="298" w:lineRule="auto"/>
        <w:ind w:left="558" w:right="3160" w:hanging="6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  <w:r>
        <w:rPr>
          <w:spacing w:val="8"/>
        </w:rPr>
        <w:t xml:space="preserve"> </w:t>
      </w:r>
      <w:r>
        <w:rPr>
          <w:b/>
          <w:bCs/>
          <w:spacing w:val="-2"/>
        </w:rPr>
        <w:t>Storage buffer:</w:t>
      </w:r>
    </w:p>
    <w:p w14:paraId="1A787AE6">
      <w:pPr>
        <w:pStyle w:val="2"/>
        <w:spacing w:before="25" w:line="233" w:lineRule="auto"/>
        <w:ind w:left="551"/>
      </w:pPr>
      <w:r>
        <w:rPr>
          <w:spacing w:val="-1"/>
        </w:rPr>
        <w:t>Preservative: no</w:t>
      </w:r>
    </w:p>
    <w:p w14:paraId="7347B7F7">
      <w:pPr>
        <w:pStyle w:val="2"/>
        <w:spacing w:before="26" w:line="307" w:lineRule="auto"/>
        <w:ind w:left="555" w:right="507"/>
      </w:pPr>
      <w:r>
        <w:t>Constituents: PBS (without Mg</w:t>
      </w:r>
      <w:r>
        <w:rPr>
          <w:position w:val="9"/>
          <w:sz w:val="13"/>
          <w:szCs w:val="13"/>
        </w:rPr>
        <w:t xml:space="preserve">2+  </w:t>
      </w:r>
      <w:r>
        <w:t>and Ca</w:t>
      </w:r>
      <w:r>
        <w:rPr>
          <w:position w:val="9"/>
          <w:sz w:val="13"/>
          <w:szCs w:val="13"/>
        </w:rPr>
        <w:t>2+</w:t>
      </w:r>
      <w:r>
        <w:t>), pH</w:t>
      </w:r>
      <w:r>
        <w:rPr>
          <w:spacing w:val="3"/>
        </w:rPr>
        <w:t xml:space="preserve"> </w:t>
      </w:r>
      <w:r>
        <w:rPr>
          <w:spacing w:val="-1"/>
        </w:rPr>
        <w:t>7.4,</w:t>
      </w:r>
      <w:r>
        <w:rPr>
          <w:spacing w:val="25"/>
        </w:rPr>
        <w:t xml:space="preserve"> </w:t>
      </w:r>
      <w:r>
        <w:rPr>
          <w:spacing w:val="-1"/>
        </w:rPr>
        <w:t>150 mM NaCl, 50% glycer</w:t>
      </w:r>
      <w:r>
        <w:rPr>
          <w:spacing w:val="-2"/>
        </w:rPr>
        <w:t>ol</w:t>
      </w:r>
    </w:p>
    <w:p w14:paraId="1256760E">
      <w:pPr>
        <w:pStyle w:val="2"/>
        <w:spacing w:before="41" w:line="251" w:lineRule="auto"/>
        <w:ind w:left="549" w:right="328" w:firstLine="9"/>
      </w:pPr>
      <w:r>
        <w:rPr>
          <w:b/>
          <w:bCs/>
        </w:rPr>
        <w:t xml:space="preserve">Species Reactivity: </w:t>
      </w:r>
      <w:r>
        <w:t>Anti-IDH2(R172H</w:t>
      </w:r>
      <w:r>
        <w:rPr>
          <w:spacing w:val="-1"/>
        </w:rPr>
        <w:t>) antibody</w:t>
      </w:r>
      <w:r>
        <w:t xml:space="preserve"> recognizes</w:t>
      </w:r>
      <w:r>
        <w:rPr>
          <w:spacing w:val="1"/>
        </w:rPr>
        <w:t xml:space="preserve"> </w:t>
      </w:r>
      <w:r>
        <w:t>IDH</w:t>
      </w:r>
      <w:r>
        <w:rPr>
          <w:spacing w:val="1"/>
        </w:rPr>
        <w:t xml:space="preserve">2(R172H) </w:t>
      </w:r>
      <w:r>
        <w:t>of</w:t>
      </w:r>
      <w:r>
        <w:rPr>
          <w:spacing w:val="-14"/>
        </w:rPr>
        <w:t xml:space="preserve"> </w:t>
      </w:r>
      <w:r>
        <w:t>vertebrates</w:t>
      </w:r>
      <w:r>
        <w:rPr>
          <w:spacing w:val="1"/>
        </w:rPr>
        <w:t>.</w:t>
      </w:r>
    </w:p>
    <w:p w14:paraId="72BED093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2C75C723">
      <w:pPr>
        <w:pStyle w:val="2"/>
        <w:spacing w:before="61" w:line="294" w:lineRule="auto"/>
        <w:ind w:left="6" w:right="1242" w:firstLine="2"/>
      </w:pPr>
      <w:r>
        <w:rPr>
          <w:b/>
          <w:bCs/>
          <w:spacing w:val="-1"/>
        </w:rPr>
        <w:t>Storage Conditions:</w:t>
      </w:r>
      <w:r>
        <w:rPr>
          <w:b/>
          <w:bCs/>
          <w:spacing w:val="18"/>
        </w:rPr>
        <w:t xml:space="preserve"> </w:t>
      </w:r>
      <w:r>
        <w:rPr>
          <w:spacing w:val="-1"/>
        </w:rPr>
        <w:t>Store</w:t>
      </w:r>
      <w:r>
        <w:rPr>
          <w:spacing w:val="-2"/>
        </w:rPr>
        <w:t xml:space="preserve"> at -20°C.</w:t>
      </w:r>
      <w:r>
        <w:rPr>
          <w:spacing w:val="-10"/>
        </w:rPr>
        <w:t xml:space="preserve"> </w:t>
      </w:r>
      <w:r>
        <w:rPr>
          <w:spacing w:val="-2"/>
        </w:rPr>
        <w:t>Avoid</w:t>
      </w:r>
      <w:r>
        <w:t xml:space="preserve"> </w:t>
      </w:r>
      <w:r>
        <w:rPr>
          <w:spacing w:val="-1"/>
        </w:rPr>
        <w:t>freeze / thaw cycles.</w:t>
      </w:r>
    </w:p>
    <w:p w14:paraId="67E9D5D5">
      <w:pPr>
        <w:spacing w:line="288" w:lineRule="auto"/>
        <w:rPr>
          <w:rFonts w:ascii="Arial"/>
          <w:sz w:val="21"/>
        </w:rPr>
      </w:pPr>
    </w:p>
    <w:p w14:paraId="16B60BC0">
      <w:pPr>
        <w:pStyle w:val="2"/>
        <w:spacing w:before="61" w:line="229" w:lineRule="auto"/>
      </w:pPr>
      <w:r>
        <w:rPr>
          <w:b/>
          <w:bCs/>
          <w:spacing w:val="-1"/>
        </w:rPr>
        <w:t>Western blot:</w:t>
      </w:r>
    </w:p>
    <w:p w14:paraId="4A2296E8">
      <w:pPr>
        <w:spacing w:before="96" w:line="2285" w:lineRule="exact"/>
        <w:ind w:firstLine="102"/>
      </w:pPr>
      <w:r>
        <w:rPr>
          <w:position w:val="-45"/>
        </w:rPr>
        <w:drawing>
          <wp:inline distT="0" distB="0" distL="0" distR="0">
            <wp:extent cx="2477770" cy="145097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77770" cy="145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84304">
      <w:pPr>
        <w:pStyle w:val="2"/>
        <w:spacing w:before="191" w:line="191" w:lineRule="auto"/>
        <w:ind w:left="1"/>
      </w:pPr>
      <w:r>
        <w:t>Western blot analysis of</w:t>
      </w:r>
      <w:r>
        <w:rPr>
          <w:spacing w:val="-20"/>
        </w:rPr>
        <w:t xml:space="preserve"> </w:t>
      </w:r>
      <w:r>
        <w:t>recombinant</w:t>
      </w:r>
    </w:p>
    <w:p w14:paraId="4D55CA06">
      <w:pPr>
        <w:pStyle w:val="2"/>
        <w:spacing w:before="119" w:line="191" w:lineRule="auto"/>
        <w:ind w:left="4"/>
      </w:pPr>
      <w:r>
        <w:t>IDH2(R172H) and wildtype proteins. Purif</w:t>
      </w:r>
      <w:r>
        <w:rPr>
          <w:spacing w:val="-1"/>
        </w:rPr>
        <w:t>ied</w:t>
      </w:r>
    </w:p>
    <w:p w14:paraId="015C926A">
      <w:pPr>
        <w:pStyle w:val="2"/>
        <w:spacing w:before="120" w:line="300" w:lineRule="auto"/>
        <w:ind w:right="922" w:firstLine="2"/>
      </w:pPr>
      <w:r>
        <w:t>His-tagged IDH2(R172H) protein(Cat.#10201) and wildtype protein(Cat.#10200) were blotted</w:t>
      </w:r>
      <w:r>
        <w:rPr>
          <w:spacing w:val="1"/>
        </w:rPr>
        <w:t xml:space="preserve"> </w:t>
      </w:r>
      <w:r>
        <w:t>with anti-IDH2(R172H) monoclonal</w:t>
      </w:r>
    </w:p>
    <w:p w14:paraId="094B3B05">
      <w:pPr>
        <w:pStyle w:val="2"/>
        <w:spacing w:before="31" w:line="191" w:lineRule="auto"/>
        <w:ind w:left="6"/>
      </w:pPr>
      <w:r>
        <w:t>antibody(Cat.# 26084)(left panel). Pro</w:t>
      </w:r>
      <w:r>
        <w:rPr>
          <w:spacing w:val="-1"/>
        </w:rPr>
        <w:t>teins</w:t>
      </w:r>
    </w:p>
    <w:p w14:paraId="0E82564A">
      <w:pPr>
        <w:pStyle w:val="2"/>
        <w:spacing w:before="120" w:line="294" w:lineRule="auto"/>
        <w:ind w:left="6" w:right="771" w:hanging="1"/>
      </w:pPr>
      <w:r>
        <w:t>loading were blotted with anti-IDH2 monocl</w:t>
      </w:r>
      <w:r>
        <w:rPr>
          <w:spacing w:val="-1"/>
        </w:rPr>
        <w:t>onal</w:t>
      </w:r>
      <w:r>
        <w:t xml:space="preserve"> antibody</w:t>
      </w:r>
      <w:r>
        <w:rPr>
          <w:spacing w:val="1"/>
        </w:rPr>
        <w:t>(</w:t>
      </w:r>
      <w:r>
        <w:t>right</w:t>
      </w:r>
      <w:r>
        <w:rPr>
          <w:spacing w:val="1"/>
        </w:rPr>
        <w:t xml:space="preserve"> </w:t>
      </w:r>
      <w:r>
        <w:t>panel</w:t>
      </w:r>
      <w:r>
        <w:rPr>
          <w:spacing w:val="1"/>
        </w:rPr>
        <w:t>).</w:t>
      </w:r>
    </w:p>
    <w:p w14:paraId="78883BFB">
      <w:pPr>
        <w:spacing w:line="294" w:lineRule="auto"/>
        <w:sectPr>
          <w:type w:val="continuous"/>
          <w:pgSz w:w="11907" w:h="16839"/>
          <w:pgMar w:top="2406" w:right="596" w:bottom="2072" w:left="1252" w:header="850" w:footer="995" w:gutter="0"/>
          <w:cols w:equalWidth="0" w:num="2">
            <w:col w:w="5073" w:space="100"/>
            <w:col w:w="4885"/>
          </w:cols>
        </w:sectPr>
      </w:pPr>
    </w:p>
    <w:p w14:paraId="652EAA6F">
      <w:pPr>
        <w:spacing w:line="447" w:lineRule="auto"/>
        <w:rPr>
          <w:rFonts w:ascii="Arial"/>
          <w:sz w:val="21"/>
        </w:rPr>
      </w:pPr>
    </w:p>
    <w:p w14:paraId="2CF47967">
      <w:pPr>
        <w:spacing w:line="1305" w:lineRule="exact"/>
        <w:ind w:firstLine="540"/>
      </w:pPr>
    </w:p>
    <w:p w14:paraId="19B84C98">
      <w:pPr>
        <w:spacing w:before="190" w:line="60" w:lineRule="exact"/>
      </w:pPr>
      <w:r>
        <w:rPr>
          <w:position w:val="-1"/>
        </w:rPr>
        <w:pict>
          <v:shape id="_x0000_s1027" o:spid="_x0000_s1027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73256D59">
      <w:pPr>
        <w:pStyle w:val="2"/>
        <w:spacing w:before="177" w:line="230" w:lineRule="auto"/>
        <w:ind w:left="544"/>
      </w:pPr>
      <w:r>
        <w:rPr>
          <w:b/>
          <w:bCs/>
          <w:spacing w:val="-1"/>
        </w:rPr>
        <w:t>Immunofluorescence:</w:t>
      </w:r>
    </w:p>
    <w:p w14:paraId="2A0C1D48">
      <w:pPr>
        <w:spacing w:before="74" w:line="4572" w:lineRule="exact"/>
        <w:ind w:firstLine="621"/>
      </w:pPr>
      <w:r>
        <w:rPr>
          <w:position w:val="-91"/>
        </w:rPr>
        <w:drawing>
          <wp:inline distT="0" distB="0" distL="0" distR="0">
            <wp:extent cx="2648585" cy="290322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48839" cy="2903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288B6">
      <w:pPr>
        <w:pStyle w:val="2"/>
        <w:spacing w:before="114" w:line="295" w:lineRule="auto"/>
        <w:ind w:left="544" w:right="5419"/>
      </w:pPr>
      <w:r>
        <w:rPr>
          <w:b/>
          <w:bCs/>
        </w:rPr>
        <w:t>Immunofluorescence of cells expre</w:t>
      </w:r>
      <w:r>
        <w:rPr>
          <w:b/>
          <w:bCs/>
          <w:spacing w:val="-1"/>
        </w:rPr>
        <w:t>ssing IDH2</w:t>
      </w:r>
      <w:r>
        <w:rPr>
          <w:b/>
          <w:bCs/>
        </w:rPr>
        <w:t xml:space="preserve"> proteins with anti-IDH2 (R172H) an</w:t>
      </w:r>
      <w:r>
        <w:rPr>
          <w:b/>
          <w:bCs/>
          <w:spacing w:val="-1"/>
        </w:rPr>
        <w:t>tibody.</w:t>
      </w:r>
    </w:p>
    <w:p w14:paraId="5C7EEE10">
      <w:pPr>
        <w:pStyle w:val="2"/>
        <w:spacing w:before="25" w:line="233" w:lineRule="auto"/>
        <w:ind w:left="544"/>
      </w:pPr>
      <w:r>
        <w:t>HEK293T cells were transfec</w:t>
      </w:r>
      <w:r>
        <w:rPr>
          <w:spacing w:val="-1"/>
        </w:rPr>
        <w:t>ted with</w:t>
      </w:r>
    </w:p>
    <w:p w14:paraId="5C953A39">
      <w:pPr>
        <w:pStyle w:val="2"/>
        <w:spacing w:before="77" w:line="295" w:lineRule="auto"/>
        <w:ind w:left="547" w:right="5243" w:hanging="7"/>
      </w:pPr>
      <w:r>
        <w:rPr>
          <w:spacing w:val="-1"/>
        </w:rPr>
        <w:t>pCDNA3-GFP-IDH2</w:t>
      </w:r>
      <w:r>
        <w:rPr>
          <w:spacing w:val="42"/>
        </w:rPr>
        <w:t xml:space="preserve"> </w:t>
      </w:r>
      <w:r>
        <w:rPr>
          <w:spacing w:val="-1"/>
        </w:rPr>
        <w:t>(WT)</w:t>
      </w:r>
      <w:r>
        <w:rPr>
          <w:spacing w:val="13"/>
          <w:w w:val="101"/>
        </w:rPr>
        <w:t xml:space="preserve"> </w:t>
      </w:r>
      <w:r>
        <w:rPr>
          <w:spacing w:val="-1"/>
        </w:rPr>
        <w:t>plasmid</w:t>
      </w:r>
      <w:r>
        <w:rPr>
          <w:spacing w:val="25"/>
          <w:w w:val="101"/>
        </w:rPr>
        <w:t xml:space="preserve"> </w:t>
      </w:r>
      <w:r>
        <w:rPr>
          <w:spacing w:val="-1"/>
        </w:rPr>
        <w:t>(left</w:t>
      </w:r>
      <w:r>
        <w:rPr>
          <w:spacing w:val="22"/>
          <w:w w:val="101"/>
        </w:rPr>
        <w:t xml:space="preserve"> </w:t>
      </w:r>
      <w:r>
        <w:rPr>
          <w:spacing w:val="-1"/>
        </w:rPr>
        <w:t>column)</w:t>
      </w:r>
      <w:r>
        <w:t xml:space="preserve"> or pCDNA3-GFP-IDH2 (R172H) plas</w:t>
      </w:r>
      <w:r>
        <w:rPr>
          <w:spacing w:val="-1"/>
        </w:rPr>
        <w:t>mid (right</w:t>
      </w:r>
    </w:p>
    <w:p w14:paraId="50A4CF3C">
      <w:pPr>
        <w:pStyle w:val="2"/>
        <w:spacing w:before="32" w:line="294" w:lineRule="auto"/>
        <w:ind w:left="548" w:right="5513" w:hanging="1"/>
      </w:pPr>
      <w:r>
        <w:t>column), then fixed and staine</w:t>
      </w:r>
      <w:r>
        <w:rPr>
          <w:spacing w:val="-1"/>
        </w:rPr>
        <w:t>d with</w:t>
      </w:r>
      <w:r>
        <w:rPr>
          <w:spacing w:val="7"/>
        </w:rPr>
        <w:t xml:space="preserve"> </w:t>
      </w:r>
      <w:r>
        <w:rPr>
          <w:spacing w:val="-1"/>
        </w:rPr>
        <w:t>anti-IDH2</w:t>
      </w:r>
      <w:r>
        <w:t xml:space="preserve"> (R172H) monoclonal antibody (Cat. #26084).</w:t>
      </w:r>
    </w:p>
    <w:p w14:paraId="0B490B75">
      <w:pPr>
        <w:spacing w:line="251" w:lineRule="auto"/>
        <w:rPr>
          <w:rFonts w:ascii="Arial"/>
          <w:sz w:val="21"/>
        </w:rPr>
      </w:pPr>
    </w:p>
    <w:p w14:paraId="1646B17B">
      <w:pPr>
        <w:spacing w:line="251" w:lineRule="auto"/>
        <w:rPr>
          <w:rFonts w:ascii="Arial"/>
          <w:sz w:val="21"/>
        </w:rPr>
      </w:pPr>
    </w:p>
    <w:p w14:paraId="3F54E8B1">
      <w:pPr>
        <w:spacing w:line="251" w:lineRule="auto"/>
        <w:rPr>
          <w:rFonts w:ascii="Arial"/>
          <w:sz w:val="21"/>
        </w:rPr>
      </w:pPr>
    </w:p>
    <w:p w14:paraId="074A39BA">
      <w:pPr>
        <w:spacing w:line="251" w:lineRule="auto"/>
        <w:rPr>
          <w:rFonts w:ascii="Arial"/>
          <w:sz w:val="21"/>
        </w:rPr>
      </w:pPr>
    </w:p>
    <w:p w14:paraId="7C612D15">
      <w:pPr>
        <w:spacing w:line="251" w:lineRule="auto"/>
        <w:rPr>
          <w:rFonts w:ascii="Arial"/>
          <w:sz w:val="21"/>
        </w:rPr>
      </w:pPr>
    </w:p>
    <w:p w14:paraId="5CDFDDC2">
      <w:pPr>
        <w:spacing w:line="251" w:lineRule="auto"/>
        <w:rPr>
          <w:rFonts w:ascii="Arial"/>
          <w:sz w:val="21"/>
        </w:rPr>
      </w:pPr>
    </w:p>
    <w:p w14:paraId="1CD9FEC9">
      <w:pPr>
        <w:spacing w:line="251" w:lineRule="auto"/>
        <w:rPr>
          <w:rFonts w:ascii="Arial"/>
          <w:sz w:val="21"/>
        </w:rPr>
      </w:pPr>
    </w:p>
    <w:p w14:paraId="6FDF0DF8">
      <w:pPr>
        <w:spacing w:line="251" w:lineRule="auto"/>
        <w:rPr>
          <w:rFonts w:ascii="Arial"/>
          <w:sz w:val="21"/>
        </w:rPr>
      </w:pPr>
    </w:p>
    <w:p w14:paraId="6EF651D6">
      <w:pPr>
        <w:spacing w:line="251" w:lineRule="auto"/>
        <w:rPr>
          <w:rFonts w:ascii="Arial"/>
          <w:sz w:val="21"/>
        </w:rPr>
      </w:pPr>
    </w:p>
    <w:p w14:paraId="1CA9965D">
      <w:pPr>
        <w:spacing w:line="251" w:lineRule="auto"/>
        <w:rPr>
          <w:rFonts w:ascii="Arial"/>
          <w:sz w:val="21"/>
        </w:rPr>
      </w:pPr>
    </w:p>
    <w:p w14:paraId="2DA9FC8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280802E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41456E60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5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61923241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72BE3B00">
      <w:pPr>
        <w:spacing w:line="251" w:lineRule="auto"/>
        <w:rPr>
          <w:rFonts w:ascii="Arial"/>
          <w:sz w:val="21"/>
        </w:rPr>
      </w:pPr>
      <w:bookmarkStart w:id="0" w:name="_GoBack"/>
      <w:bookmarkEnd w:id="0"/>
    </w:p>
    <w:p w14:paraId="52ABB9EB">
      <w:pPr>
        <w:spacing w:line="252" w:lineRule="auto"/>
        <w:rPr>
          <w:rFonts w:ascii="Arial"/>
          <w:sz w:val="21"/>
        </w:rPr>
      </w:pPr>
    </w:p>
    <w:p w14:paraId="3A0F3E6D">
      <w:pPr>
        <w:spacing w:line="252" w:lineRule="auto"/>
        <w:rPr>
          <w:rFonts w:ascii="Arial"/>
          <w:sz w:val="21"/>
        </w:rPr>
      </w:pPr>
    </w:p>
    <w:p w14:paraId="1F8B9601">
      <w:pPr>
        <w:spacing w:before="1" w:line="60" w:lineRule="exact"/>
      </w:pPr>
      <w:r>
        <w:rPr>
          <w:position w:val="-1"/>
        </w:rPr>
        <w:pict>
          <v:shape id="_x0000_s1028" o:spid="_x0000_s1028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38410539">
      <w:pPr>
        <w:spacing w:before="193" w:line="196" w:lineRule="auto"/>
        <w:ind w:left="2060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pacing w:val="-1"/>
          <w:sz w:val="18"/>
          <w:szCs w:val="18"/>
        </w:rPr>
        <w:t>For research</w:t>
      </w:r>
      <w:r>
        <w:rPr>
          <w:rFonts w:ascii="Arial" w:hAnsi="Arial" w:eastAsia="Arial" w:cs="Arial"/>
          <w:b/>
          <w:bCs/>
          <w:spacing w:val="25"/>
          <w:w w:val="101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use only.</w:t>
      </w:r>
      <w:r>
        <w:rPr>
          <w:rFonts w:ascii="Arial" w:hAnsi="Arial" w:eastAsia="Arial" w:cs="Arial"/>
          <w:b/>
          <w:bCs/>
          <w:spacing w:val="14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Not for diagnostic or therapeutic applications.</w:t>
      </w:r>
    </w:p>
    <w:sectPr>
      <w:headerReference r:id="rId6" w:type="default"/>
      <w:footerReference r:id="rId7" w:type="default"/>
      <w:pgSz w:w="11907" w:h="16839"/>
      <w:pgMar w:top="400" w:right="596" w:bottom="1645" w:left="1260" w:header="0" w:footer="123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6ACA0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E69B5B">
    <w:pPr>
      <w:spacing w:line="240" w:lineRule="auto"/>
      <w:ind w:firstLine="547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1096645" cy="1020445"/>
          <wp:effectExtent l="0" t="0" r="8255" b="8255"/>
          <wp:docPr id="1" name="图片 1" descr="9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99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6645" cy="1020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A1455F">
    <w:pPr>
      <w:spacing w:before="190" w:line="50" w:lineRule="exact"/>
      <w:ind w:firstLine="7"/>
    </w:pPr>
    <w:r>
      <w:rPr>
        <w:position w:val="-2"/>
      </w:rPr>
      <w:pict>
        <v:shape id="_x0000_s2049" o:spid="_x0000_s2049" style="height:3pt;width:502.5pt;" filled="f" stroked="t" coordsize="10050,60" path="m0,30l10050,30e">
          <v:fill on="f" focussize="0,0"/>
          <v:stroke weight="3pt" color="#008000" miterlimit="10"/>
          <v:imagedata o:title=""/>
          <o:lock v:ext="edit"/>
          <w10:wrap type="non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CFB678">
    <w:pPr>
      <w:spacing w:line="14" w:lineRule="auto"/>
      <w:rPr>
        <w:rFonts w:ascii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89128A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character" w:styleId="5">
    <w:name w:val="Hyperlink"/>
    <w:basedOn w:val="4"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249</Words>
  <Characters>1732</Characters>
  <TotalTime>1</TotalTime>
  <ScaleCrop>false</ScaleCrop>
  <LinksUpToDate>false</LinksUpToDate>
  <CharactersWithSpaces>1971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2012-09-20T14:22:00Z</dcterms:created>
  <dc:creator>yanhua</dc:creator>
  <cp:lastModifiedBy>周亿福</cp:lastModifiedBy>
  <dcterms:modified xsi:type="dcterms:W3CDTF">2025-08-14T04:38:06Z</dcterms:modified>
  <dc:title>Orai1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2025-08-14T11:00:11Z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2DC55AB71E5743639813BB7BAC9A6A33_12</vt:lpwstr>
  </property>
</Properties>
</file>