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95A28">
      <w:pPr>
        <w:pStyle w:val="2"/>
        <w:spacing w:before="287" w:line="190" w:lineRule="auto"/>
        <w:ind w:left="55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IDH1(R132H)</w:t>
      </w:r>
    </w:p>
    <w:p w14:paraId="4E808A8F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>Catalog Number: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b/>
          <w:bCs/>
          <w:spacing w:val="-1"/>
        </w:rPr>
        <w:t xml:space="preserve"> </w:t>
      </w:r>
      <w:r>
        <w:rPr>
          <w:spacing w:val="-1"/>
        </w:rPr>
        <w:t>26081</w:t>
      </w:r>
    </w:p>
    <w:p w14:paraId="54D7E044">
      <w:pPr>
        <w:pStyle w:val="2"/>
        <w:spacing w:before="119" w:line="191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IDH1(R132H)</w:t>
      </w:r>
    </w:p>
    <w:p w14:paraId="7067168A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60288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Anti-IDH1(R132H) Mouse Monoclonal</w:t>
      </w:r>
      <w:r>
        <w:rPr>
          <w:spacing w:val="-11"/>
        </w:rPr>
        <w:t xml:space="preserve"> </w:t>
      </w:r>
      <w:r>
        <w:t>Antibody</w:t>
      </w:r>
    </w:p>
    <w:p w14:paraId="30DFB40C">
      <w:pPr>
        <w:spacing w:before="128"/>
      </w:pPr>
    </w:p>
    <w:p w14:paraId="10E24A92">
      <w:pPr>
        <w:sectPr>
          <w:headerReference r:id="rId5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729267CE">
      <w:pPr>
        <w:pStyle w:val="2"/>
        <w:spacing w:before="38" w:line="191" w:lineRule="auto"/>
        <w:ind w:left="552"/>
      </w:pPr>
      <w:r>
        <w:rPr>
          <w:b/>
          <w:bCs/>
        </w:rPr>
        <w:t xml:space="preserve">Background: </w:t>
      </w:r>
      <w:r>
        <w:t>Isocitrate dehydr</w:t>
      </w:r>
      <w:r>
        <w:rPr>
          <w:spacing w:val="-1"/>
        </w:rPr>
        <w:t>ogenases</w:t>
      </w:r>
    </w:p>
    <w:p w14:paraId="4E9069E9">
      <w:pPr>
        <w:pStyle w:val="2"/>
        <w:spacing w:before="120" w:line="191" w:lineRule="auto"/>
        <w:ind w:left="555"/>
      </w:pPr>
      <w:r>
        <w:t>catalyze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oxidative</w:t>
      </w:r>
      <w:r>
        <w:rPr>
          <w:spacing w:val="3"/>
        </w:rPr>
        <w:t xml:space="preserve"> </w:t>
      </w:r>
      <w:r>
        <w:t>decarboxylation</w:t>
      </w:r>
      <w:r>
        <w:rPr>
          <w:spacing w:val="3"/>
        </w:rPr>
        <w:t xml:space="preserve"> </w:t>
      </w:r>
      <w:r>
        <w:t>of</w:t>
      </w:r>
    </w:p>
    <w:p w14:paraId="6DF0C128">
      <w:pPr>
        <w:pStyle w:val="2"/>
        <w:spacing w:before="119" w:line="300" w:lineRule="auto"/>
        <w:ind w:left="549" w:right="434" w:firstLine="4"/>
      </w:pPr>
      <w:r>
        <w:t>isocitrate to 2-oxoglutarate. Mutations</w:t>
      </w:r>
      <w:r>
        <w:rPr>
          <w:spacing w:val="-1"/>
        </w:rPr>
        <w:t xml:space="preserve"> affecting</w:t>
      </w:r>
      <w:r>
        <w:t xml:space="preserve">  Arg-132 are tissue-specific, and suggest that </w:t>
      </w:r>
      <w:r>
        <w:rPr>
          <w:spacing w:val="-1"/>
        </w:rPr>
        <w:t>this</w:t>
      </w:r>
      <w:r>
        <w:t xml:space="preserve"> residue plays a unique role in the development</w:t>
      </w:r>
    </w:p>
    <w:p w14:paraId="2458758D">
      <w:pPr>
        <w:pStyle w:val="2"/>
        <w:spacing w:before="32" w:line="310" w:lineRule="auto"/>
        <w:ind w:left="555" w:right="434"/>
      </w:pPr>
      <w:r>
        <w:t>of</w:t>
      </w:r>
      <w:r>
        <w:rPr>
          <w:spacing w:val="-21"/>
        </w:rPr>
        <w:t xml:space="preserve"> </w:t>
      </w:r>
      <w:r>
        <w:t>high</w:t>
      </w:r>
      <w:r>
        <w:rPr>
          <w:spacing w:val="3"/>
        </w:rPr>
        <w:t>-</w:t>
      </w:r>
      <w:r>
        <w:t>grade</w:t>
      </w:r>
      <w:r>
        <w:rPr>
          <w:spacing w:val="3"/>
        </w:rPr>
        <w:t xml:space="preserve"> </w:t>
      </w:r>
      <w:r>
        <w:t>gliomas</w:t>
      </w:r>
      <w:r>
        <w:rPr>
          <w:spacing w:val="3"/>
        </w:rPr>
        <w:t xml:space="preserve">. </w:t>
      </w:r>
      <w:r>
        <w:t>Mutations</w:t>
      </w:r>
      <w:r>
        <w:rPr>
          <w:spacing w:val="3"/>
        </w:rPr>
        <w:t xml:space="preserve"> </w:t>
      </w:r>
      <w:r>
        <w:t>of</w:t>
      </w:r>
      <w:r>
        <w:rPr>
          <w:spacing w:val="-32"/>
        </w:rPr>
        <w:t xml:space="preserve"> </w:t>
      </w:r>
      <w:r>
        <w:t>Arg</w:t>
      </w:r>
      <w:r>
        <w:rPr>
          <w:spacing w:val="3"/>
        </w:rPr>
        <w:t xml:space="preserve">-132 </w:t>
      </w:r>
      <w:r>
        <w:t>to  Cys, His, Leu or Ser</w:t>
      </w:r>
      <w:r>
        <w:rPr>
          <w:spacing w:val="6"/>
        </w:rPr>
        <w:t xml:space="preserve"> </w:t>
      </w:r>
      <w:r>
        <w:t xml:space="preserve">abolish </w:t>
      </w:r>
      <w:r>
        <w:rPr>
          <w:spacing w:val="-1"/>
        </w:rPr>
        <w:t>magnesium binding</w:t>
      </w:r>
      <w:r>
        <w:t xml:space="preserve"> and</w:t>
      </w:r>
      <w:r>
        <w:rPr>
          <w:spacing w:val="1"/>
        </w:rPr>
        <w:t xml:space="preserve"> </w:t>
      </w:r>
      <w:r>
        <w:t>abolish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conversion</w:t>
      </w:r>
      <w:r>
        <w:rPr>
          <w:spacing w:val="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isocitrate</w:t>
      </w:r>
      <w:r>
        <w:rPr>
          <w:spacing w:val="1"/>
        </w:rPr>
        <w:t xml:space="preserve"> </w:t>
      </w:r>
      <w:r>
        <w:t>to</w:t>
      </w:r>
    </w:p>
    <w:p w14:paraId="7EFFDBC1">
      <w:pPr>
        <w:pStyle w:val="2"/>
        <w:spacing w:before="2" w:line="299" w:lineRule="auto"/>
        <w:ind w:left="554" w:right="462" w:firstLine="1"/>
      </w:pPr>
      <w:r>
        <w:t>alpha-ketoglutarate. Instead, alpha-ketog</w:t>
      </w:r>
      <w:r>
        <w:rPr>
          <w:spacing w:val="-1"/>
        </w:rPr>
        <w:t>lutarate</w:t>
      </w:r>
      <w:r>
        <w:t xml:space="preserve"> is converted to R--2-hydroxyglutarate. El</w:t>
      </w:r>
      <w:r>
        <w:rPr>
          <w:spacing w:val="-1"/>
        </w:rPr>
        <w:t>evated</w:t>
      </w:r>
      <w:r>
        <w:t xml:space="preserve">  levels</w:t>
      </w:r>
      <w:r>
        <w:rPr>
          <w:spacing w:val="2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R</w:t>
      </w:r>
      <w:r>
        <w:rPr>
          <w:spacing w:val="2"/>
        </w:rPr>
        <w:t>-2-</w:t>
      </w:r>
      <w:r>
        <w:t>hydroxyglutarate</w:t>
      </w:r>
      <w:r>
        <w:rPr>
          <w:spacing w:val="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correlated</w:t>
      </w:r>
    </w:p>
    <w:p w14:paraId="5821D692">
      <w:pPr>
        <w:pStyle w:val="2"/>
        <w:spacing w:before="32" w:line="294" w:lineRule="auto"/>
        <w:ind w:left="551" w:right="484" w:hanging="2"/>
      </w:pPr>
      <w:r>
        <w:t>with</w:t>
      </w:r>
      <w:r>
        <w:rPr>
          <w:spacing w:val="3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elevated</w:t>
      </w:r>
      <w:r>
        <w:rPr>
          <w:spacing w:val="3"/>
        </w:rPr>
        <w:t xml:space="preserve"> </w:t>
      </w:r>
      <w:r>
        <w:t>risk</w:t>
      </w:r>
      <w:r>
        <w:rPr>
          <w:spacing w:val="3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malignant</w:t>
      </w:r>
      <w:r>
        <w:rPr>
          <w:spacing w:val="3"/>
        </w:rPr>
        <w:t xml:space="preserve"> </w:t>
      </w:r>
      <w:r>
        <w:t>brain</w:t>
      </w:r>
      <w:r>
        <w:rPr>
          <w:spacing w:val="3"/>
        </w:rPr>
        <w:t xml:space="preserve"> </w:t>
      </w:r>
      <w:r>
        <w:t>tumors</w:t>
      </w:r>
      <w:r>
        <w:rPr>
          <w:spacing w:val="3"/>
        </w:rPr>
        <w:t>.</w:t>
      </w:r>
      <w:r>
        <w:t xml:space="preserve"> </w:t>
      </w:r>
      <w:r>
        <w:rPr>
          <w:b/>
          <w:bCs/>
        </w:rPr>
        <w:t>Immunogen:</w:t>
      </w:r>
      <w:r>
        <w:rPr>
          <w:b/>
          <w:bCs/>
          <w:spacing w:val="-11"/>
        </w:rPr>
        <w:t xml:space="preserve"> </w:t>
      </w:r>
      <w:r>
        <w:t>A synthet</w:t>
      </w:r>
      <w:r>
        <w:rPr>
          <w:spacing w:val="-1"/>
        </w:rPr>
        <w:t>ic peptide from the</w:t>
      </w:r>
    </w:p>
    <w:p w14:paraId="073EF24C">
      <w:pPr>
        <w:pStyle w:val="2"/>
        <w:spacing w:before="31" w:line="295" w:lineRule="auto"/>
        <w:ind w:left="549" w:right="901" w:firstLine="4"/>
      </w:pPr>
      <w:r>
        <w:t>internal</w:t>
      </w:r>
      <w:r>
        <w:rPr>
          <w:spacing w:val="8"/>
        </w:rPr>
        <w:t xml:space="preserve"> </w:t>
      </w:r>
      <w:r>
        <w:t>region</w:t>
      </w:r>
      <w:r>
        <w:rPr>
          <w:spacing w:val="8"/>
        </w:rPr>
        <w:t xml:space="preserve"> </w:t>
      </w:r>
      <w:r>
        <w:t>ofIDH</w:t>
      </w:r>
      <w:r>
        <w:rPr>
          <w:spacing w:val="8"/>
        </w:rPr>
        <w:t xml:space="preserve">1 </w:t>
      </w:r>
      <w:r>
        <w:t>which</w:t>
      </w:r>
      <w:r>
        <w:rPr>
          <w:spacing w:val="8"/>
        </w:rPr>
        <w:t xml:space="preserve"> </w:t>
      </w:r>
      <w:r>
        <w:t>includes</w:t>
      </w:r>
      <w:r>
        <w:rPr>
          <w:spacing w:val="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mutation</w:t>
      </w:r>
      <w:r>
        <w:rPr>
          <w:spacing w:val="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 xml:space="preserve">132H,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54B4D8B5">
      <w:pPr>
        <w:pStyle w:val="2"/>
        <w:spacing w:before="32" w:line="310" w:lineRule="auto"/>
        <w:ind w:left="551" w:right="1181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6"/>
        </w:rP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15235675">
      <w:pPr>
        <w:pStyle w:val="2"/>
        <w:spacing w:before="1"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4DF39053">
      <w:pPr>
        <w:pStyle w:val="2"/>
        <w:spacing w:before="77" w:line="233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27CF23AC">
      <w:pPr>
        <w:pStyle w:val="2"/>
        <w:spacing w:before="78" w:line="233" w:lineRule="auto"/>
        <w:ind w:left="553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2B9B9E9D">
      <w:pPr>
        <w:pStyle w:val="2"/>
        <w:spacing w:before="78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3"/>
        </w:rPr>
        <w:t xml:space="preserve"> </w:t>
      </w:r>
      <w:r>
        <w:rPr>
          <w:spacing w:val="-2"/>
        </w:rPr>
        <w:t>1 mg/ml</w:t>
      </w:r>
    </w:p>
    <w:p w14:paraId="3FE62CD7">
      <w:pPr>
        <w:pStyle w:val="2"/>
        <w:spacing w:before="126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274CBCA7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3E632A10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31AF4061">
      <w:pPr>
        <w:pStyle w:val="2"/>
        <w:spacing w:before="119" w:line="299" w:lineRule="auto"/>
        <w:ind w:left="558" w:right="3157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006DBFC9">
      <w:pPr>
        <w:pStyle w:val="2"/>
        <w:spacing w:before="24" w:line="233" w:lineRule="auto"/>
        <w:ind w:left="551"/>
      </w:pPr>
      <w:r>
        <w:rPr>
          <w:spacing w:val="-1"/>
        </w:rPr>
        <w:t>Preservative: no</w:t>
      </w:r>
    </w:p>
    <w:p w14:paraId="4FEA3443">
      <w:pPr>
        <w:pStyle w:val="2"/>
        <w:spacing w:before="27" w:line="307" w:lineRule="auto"/>
        <w:ind w:left="555" w:right="504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4C95D503">
      <w:pPr>
        <w:pStyle w:val="2"/>
        <w:spacing w:before="42" w:line="294" w:lineRule="auto"/>
        <w:ind w:left="549" w:right="325" w:firstLine="9"/>
      </w:pPr>
      <w:r>
        <w:rPr>
          <w:b/>
          <w:bCs/>
        </w:rPr>
        <w:t xml:space="preserve">Species Reactivity: </w:t>
      </w:r>
      <w:r>
        <w:t>Anti-IDH1(R132H</w:t>
      </w:r>
      <w:r>
        <w:rPr>
          <w:spacing w:val="-1"/>
        </w:rPr>
        <w:t>) antibody</w:t>
      </w:r>
      <w:r>
        <w:t xml:space="preserve"> recognizes</w:t>
      </w:r>
      <w:r>
        <w:rPr>
          <w:spacing w:val="1"/>
        </w:rPr>
        <w:t xml:space="preserve"> </w:t>
      </w:r>
      <w:r>
        <w:t>IDH</w:t>
      </w:r>
      <w:r>
        <w:rPr>
          <w:spacing w:val="1"/>
        </w:rPr>
        <w:t xml:space="preserve">1(R132H) </w:t>
      </w:r>
      <w:r>
        <w:t>of</w:t>
      </w:r>
      <w:r>
        <w:rPr>
          <w:spacing w:val="-14"/>
        </w:rPr>
        <w:t xml:space="preserve"> </w:t>
      </w:r>
      <w:r>
        <w:t>vertebrates</w:t>
      </w:r>
      <w:r>
        <w:rPr>
          <w:spacing w:val="1"/>
        </w:rPr>
        <w:t>.</w:t>
      </w:r>
    </w:p>
    <w:p w14:paraId="0F2794A7">
      <w:pPr>
        <w:pStyle w:val="2"/>
        <w:spacing w:before="31" w:line="251" w:lineRule="auto"/>
        <w:ind w:left="556" w:right="877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18"/>
        </w:rPr>
        <w:t xml:space="preserve"> </w:t>
      </w:r>
      <w:r>
        <w:rPr>
          <w:spacing w:val="-1"/>
        </w:rPr>
        <w:t>Store</w:t>
      </w:r>
      <w:r>
        <w:rPr>
          <w:spacing w:val="-2"/>
        </w:rPr>
        <w:t xml:space="preserve">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</w:t>
      </w:r>
    </w:p>
    <w:p w14:paraId="1B10886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16D89EE">
      <w:pPr>
        <w:pStyle w:val="2"/>
        <w:spacing w:before="67" w:line="220" w:lineRule="auto"/>
        <w:ind w:left="3"/>
      </w:pPr>
      <w:r>
        <w:rPr>
          <w:b/>
          <w:bCs/>
          <w:spacing w:val="-1"/>
        </w:rPr>
        <w:t>Western blot:</w:t>
      </w:r>
    </w:p>
    <w:p w14:paraId="640640DB">
      <w:pPr>
        <w:spacing w:line="2806" w:lineRule="exact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0</wp:posOffset>
            </wp:positionV>
            <wp:extent cx="1135380" cy="178181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781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6"/>
        </w:rPr>
        <w:drawing>
          <wp:inline distT="0" distB="0" distL="0" distR="0">
            <wp:extent cx="1553845" cy="178117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4479" cy="178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6B6DA">
      <w:pPr>
        <w:spacing w:line="336" w:lineRule="auto"/>
        <w:rPr>
          <w:rFonts w:ascii="Arial"/>
          <w:sz w:val="21"/>
        </w:rPr>
      </w:pPr>
    </w:p>
    <w:p w14:paraId="40E1FB4C">
      <w:pPr>
        <w:pStyle w:val="2"/>
        <w:spacing w:before="61" w:line="191" w:lineRule="auto"/>
        <w:ind w:left="4"/>
      </w:pPr>
      <w:r>
        <w:t>Western blot analysis of</w:t>
      </w:r>
      <w:r>
        <w:rPr>
          <w:spacing w:val="-20"/>
        </w:rPr>
        <w:t xml:space="preserve"> </w:t>
      </w:r>
      <w:r>
        <w:t>recombinant</w:t>
      </w:r>
    </w:p>
    <w:p w14:paraId="550D8EB9">
      <w:pPr>
        <w:pStyle w:val="2"/>
        <w:spacing w:before="120" w:line="191" w:lineRule="auto"/>
        <w:ind w:left="7"/>
      </w:pPr>
      <w:r>
        <w:t>IDH1(R132H) and wildtype proteins. Purif</w:t>
      </w:r>
      <w:r>
        <w:rPr>
          <w:spacing w:val="-1"/>
        </w:rPr>
        <w:t>ied</w:t>
      </w:r>
    </w:p>
    <w:p w14:paraId="4AC15457">
      <w:pPr>
        <w:pStyle w:val="2"/>
        <w:spacing w:before="119" w:line="304" w:lineRule="auto"/>
        <w:ind w:left="3" w:right="718" w:firstLine="2"/>
      </w:pPr>
      <w:r>
        <w:t>His-tagged IDH1 (R132H) protein (Cat. #10199)  and wild-type protein (Cat. #10198) were blotted  with anti-IDH1(R132H) mouse antibody (Cat.#    26081)(Left panel). Proteins loading were blotted</w:t>
      </w:r>
      <w:r>
        <w:rPr>
          <w:spacing w:val="1"/>
        </w:rPr>
        <w:t xml:space="preserve"> </w:t>
      </w:r>
      <w:r>
        <w:t>with anti-IDH1 mouse antibody (Cat. #26136,</w:t>
      </w:r>
    </w:p>
    <w:p w14:paraId="72F0C7BE">
      <w:pPr>
        <w:pStyle w:val="2"/>
        <w:spacing w:before="32" w:line="191" w:lineRule="auto"/>
        <w:ind w:left="3"/>
      </w:pPr>
      <w:r>
        <w:t>right</w:t>
      </w:r>
      <w:r>
        <w:rPr>
          <w:spacing w:val="4"/>
        </w:rPr>
        <w:t xml:space="preserve"> </w:t>
      </w:r>
      <w:r>
        <w:t>panel</w:t>
      </w:r>
      <w:r>
        <w:rPr>
          <w:spacing w:val="4"/>
        </w:rPr>
        <w:t>).</w:t>
      </w:r>
    </w:p>
    <w:p w14:paraId="1304D61F">
      <w:pPr>
        <w:spacing w:line="191" w:lineRule="auto"/>
        <w:sectPr>
          <w:type w:val="continuous"/>
          <w:pgSz w:w="11907" w:h="16839"/>
          <w:pgMar w:top="2406" w:right="596" w:bottom="2072" w:left="1252" w:header="850" w:footer="995" w:gutter="0"/>
          <w:cols w:equalWidth="0" w:num="2">
            <w:col w:w="5070" w:space="100"/>
            <w:col w:w="4888"/>
          </w:cols>
        </w:sectPr>
      </w:pPr>
    </w:p>
    <w:p w14:paraId="5C3973A3">
      <w:pPr>
        <w:spacing w:line="447" w:lineRule="auto"/>
        <w:rPr>
          <w:rFonts w:ascii="Arial"/>
          <w:sz w:val="21"/>
        </w:rPr>
      </w:pPr>
    </w:p>
    <w:p w14:paraId="0B984A6D">
      <w:pPr>
        <w:spacing w:line="1305" w:lineRule="exact"/>
        <w:ind w:firstLine="540"/>
      </w:pPr>
    </w:p>
    <w:p w14:paraId="5737F040">
      <w:pPr>
        <w:spacing w:before="91" w:line="60" w:lineRule="exact"/>
        <w:ind w:firstLine="240"/>
      </w:pPr>
      <w:r>
        <w:rPr>
          <w:position w:val="-1"/>
        </w:rPr>
        <w:pict>
          <v:shape id="_x0000_s1027" o:spid="_x0000_s1027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392C4304">
      <w:pPr>
        <w:spacing w:line="275" w:lineRule="auto"/>
        <w:rPr>
          <w:rFonts w:ascii="Arial"/>
          <w:sz w:val="21"/>
        </w:rPr>
      </w:pPr>
    </w:p>
    <w:p w14:paraId="18E32529">
      <w:pPr>
        <w:spacing w:line="276" w:lineRule="auto"/>
        <w:rPr>
          <w:rFonts w:ascii="Arial"/>
          <w:sz w:val="21"/>
        </w:rPr>
      </w:pPr>
    </w:p>
    <w:p w14:paraId="02FBB3BF">
      <w:pPr>
        <w:pStyle w:val="2"/>
        <w:spacing w:before="60" w:line="230" w:lineRule="auto"/>
        <w:ind w:left="544"/>
      </w:pPr>
      <w:r>
        <w:rPr>
          <w:b/>
          <w:bCs/>
          <w:spacing w:val="-1"/>
        </w:rPr>
        <w:t>Immunofluorescence:</w:t>
      </w:r>
    </w:p>
    <w:p w14:paraId="1F5BEF32">
      <w:pPr>
        <w:spacing w:before="84" w:line="4559" w:lineRule="exact"/>
        <w:ind w:firstLine="621"/>
      </w:pPr>
      <w:r>
        <w:rPr>
          <w:position w:val="-91"/>
        </w:rPr>
        <w:drawing>
          <wp:inline distT="0" distB="0" distL="0" distR="0">
            <wp:extent cx="2708275" cy="289496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8275" cy="289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94D63">
      <w:pPr>
        <w:pStyle w:val="2"/>
        <w:spacing w:before="117" w:line="295" w:lineRule="auto"/>
        <w:ind w:left="544" w:right="5659"/>
      </w:pPr>
      <w:r>
        <w:rPr>
          <w:b/>
          <w:bCs/>
        </w:rPr>
        <w:t>Immunofluorescence of cells expre</w:t>
      </w:r>
      <w:r>
        <w:rPr>
          <w:b/>
          <w:bCs/>
          <w:spacing w:val="-1"/>
        </w:rPr>
        <w:t>ssing IDH1</w:t>
      </w:r>
      <w:r>
        <w:rPr>
          <w:b/>
          <w:bCs/>
        </w:rPr>
        <w:t xml:space="preserve"> proteins with anti-IDH1(R132H) an</w:t>
      </w:r>
      <w:r>
        <w:rPr>
          <w:b/>
          <w:bCs/>
          <w:spacing w:val="-1"/>
        </w:rPr>
        <w:t>tibody.</w:t>
      </w:r>
    </w:p>
    <w:p w14:paraId="646FE074">
      <w:pPr>
        <w:pStyle w:val="2"/>
        <w:spacing w:before="25" w:line="233" w:lineRule="auto"/>
        <w:ind w:left="544"/>
      </w:pPr>
      <w:r>
        <w:t>HEK293T cells were transfec</w:t>
      </w:r>
      <w:r>
        <w:rPr>
          <w:spacing w:val="-1"/>
        </w:rPr>
        <w:t>ted with</w:t>
      </w:r>
    </w:p>
    <w:p w14:paraId="7F5B33EE">
      <w:pPr>
        <w:pStyle w:val="2"/>
        <w:spacing w:before="79" w:line="294" w:lineRule="auto"/>
        <w:ind w:left="547" w:right="5483" w:hanging="7"/>
      </w:pPr>
      <w:r>
        <w:rPr>
          <w:spacing w:val="-1"/>
        </w:rPr>
        <w:t>pCDNA3-GFP-IDH1</w:t>
      </w:r>
      <w:r>
        <w:rPr>
          <w:spacing w:val="42"/>
        </w:rPr>
        <w:t xml:space="preserve"> </w:t>
      </w:r>
      <w:r>
        <w:rPr>
          <w:spacing w:val="-1"/>
        </w:rPr>
        <w:t>(WT)</w:t>
      </w:r>
      <w:r>
        <w:rPr>
          <w:spacing w:val="13"/>
          <w:w w:val="101"/>
        </w:rPr>
        <w:t xml:space="preserve"> </w:t>
      </w:r>
      <w:r>
        <w:rPr>
          <w:spacing w:val="-1"/>
        </w:rPr>
        <w:t>plasmid</w:t>
      </w:r>
      <w:r>
        <w:rPr>
          <w:spacing w:val="25"/>
          <w:w w:val="101"/>
        </w:rPr>
        <w:t xml:space="preserve"> </w:t>
      </w:r>
      <w:r>
        <w:rPr>
          <w:spacing w:val="-1"/>
        </w:rPr>
        <w:t>(left</w:t>
      </w:r>
      <w:r>
        <w:rPr>
          <w:spacing w:val="22"/>
          <w:w w:val="101"/>
        </w:rPr>
        <w:t xml:space="preserve"> </w:t>
      </w:r>
      <w:r>
        <w:rPr>
          <w:spacing w:val="-1"/>
        </w:rPr>
        <w:t>column)</w:t>
      </w:r>
      <w:r>
        <w:t xml:space="preserve"> or pCDNA3-GFP-IDH1 (R132H) plas</w:t>
      </w:r>
      <w:r>
        <w:rPr>
          <w:spacing w:val="-1"/>
        </w:rPr>
        <w:t>mid (right</w:t>
      </w:r>
    </w:p>
    <w:p w14:paraId="565D6453">
      <w:pPr>
        <w:pStyle w:val="2"/>
        <w:spacing w:before="32" w:line="294" w:lineRule="auto"/>
        <w:ind w:left="548" w:right="5753" w:hanging="1"/>
      </w:pPr>
      <w:r>
        <w:t>column), then fixed and staine</w:t>
      </w:r>
      <w:r>
        <w:rPr>
          <w:spacing w:val="-1"/>
        </w:rPr>
        <w:t>d with</w:t>
      </w:r>
      <w:r>
        <w:rPr>
          <w:spacing w:val="7"/>
        </w:rPr>
        <w:t xml:space="preserve"> </w:t>
      </w:r>
      <w:r>
        <w:rPr>
          <w:spacing w:val="-1"/>
        </w:rPr>
        <w:t>anti-IDH1</w:t>
      </w:r>
      <w:r>
        <w:t xml:space="preserve"> (R132H) monoclonal antibody (Cat. #26081).</w:t>
      </w:r>
    </w:p>
    <w:p w14:paraId="3C00C720">
      <w:pPr>
        <w:spacing w:line="246" w:lineRule="auto"/>
        <w:rPr>
          <w:rFonts w:ascii="Arial"/>
          <w:sz w:val="21"/>
        </w:rPr>
      </w:pPr>
    </w:p>
    <w:p w14:paraId="710301B2">
      <w:pPr>
        <w:spacing w:line="246" w:lineRule="auto"/>
        <w:rPr>
          <w:rFonts w:ascii="Arial"/>
          <w:sz w:val="21"/>
        </w:rPr>
      </w:pPr>
    </w:p>
    <w:p w14:paraId="55D3E1E3">
      <w:pPr>
        <w:spacing w:line="246" w:lineRule="auto"/>
        <w:rPr>
          <w:rFonts w:ascii="Arial"/>
          <w:sz w:val="21"/>
        </w:rPr>
      </w:pPr>
    </w:p>
    <w:p w14:paraId="2B5CFBDA">
      <w:pPr>
        <w:spacing w:line="246" w:lineRule="auto"/>
        <w:rPr>
          <w:rFonts w:ascii="Arial"/>
          <w:sz w:val="21"/>
        </w:rPr>
      </w:pPr>
    </w:p>
    <w:p w14:paraId="30B9203B">
      <w:pPr>
        <w:spacing w:line="246" w:lineRule="auto"/>
        <w:rPr>
          <w:rFonts w:ascii="Arial"/>
          <w:sz w:val="21"/>
        </w:rPr>
      </w:pPr>
      <w:bookmarkStart w:id="0" w:name="_GoBack"/>
      <w:bookmarkEnd w:id="0"/>
    </w:p>
    <w:p w14:paraId="63EF282E">
      <w:pPr>
        <w:spacing w:line="246" w:lineRule="auto"/>
        <w:rPr>
          <w:rFonts w:ascii="Arial"/>
          <w:sz w:val="21"/>
        </w:rPr>
      </w:pPr>
    </w:p>
    <w:p w14:paraId="1A486790">
      <w:pPr>
        <w:spacing w:line="246" w:lineRule="auto"/>
        <w:rPr>
          <w:rFonts w:ascii="Arial"/>
          <w:sz w:val="21"/>
        </w:rPr>
      </w:pPr>
    </w:p>
    <w:p w14:paraId="26D2A748">
      <w:pPr>
        <w:spacing w:line="246" w:lineRule="auto"/>
        <w:rPr>
          <w:rFonts w:ascii="Arial"/>
          <w:sz w:val="21"/>
        </w:rPr>
      </w:pPr>
    </w:p>
    <w:p w14:paraId="0A8EE572">
      <w:pPr>
        <w:spacing w:line="246" w:lineRule="auto"/>
        <w:rPr>
          <w:rFonts w:ascii="Arial"/>
          <w:sz w:val="21"/>
        </w:rPr>
      </w:pPr>
    </w:p>
    <w:p w14:paraId="5FBE7A09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0450AC41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5C78B4C9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6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273B1554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12FB575B">
      <w:pPr>
        <w:spacing w:line="246" w:lineRule="auto"/>
        <w:rPr>
          <w:rFonts w:ascii="Arial"/>
          <w:sz w:val="21"/>
        </w:rPr>
      </w:pPr>
    </w:p>
    <w:p w14:paraId="18AAB40C">
      <w:pPr>
        <w:spacing w:line="246" w:lineRule="auto"/>
        <w:rPr>
          <w:rFonts w:ascii="Arial"/>
          <w:sz w:val="21"/>
        </w:rPr>
      </w:pPr>
    </w:p>
    <w:p w14:paraId="41BB79B0">
      <w:pPr>
        <w:spacing w:line="246" w:lineRule="auto"/>
        <w:rPr>
          <w:rFonts w:ascii="Arial"/>
          <w:sz w:val="21"/>
        </w:rPr>
      </w:pPr>
    </w:p>
    <w:p w14:paraId="3B3BB159">
      <w:pPr>
        <w:spacing w:line="247" w:lineRule="auto"/>
        <w:rPr>
          <w:rFonts w:ascii="Arial"/>
          <w:sz w:val="21"/>
        </w:rPr>
      </w:pPr>
    </w:p>
    <w:p w14:paraId="1480FCC5">
      <w:pPr>
        <w:spacing w:before="1" w:line="60" w:lineRule="exact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95E96FF">
      <w:pPr>
        <w:spacing w:before="191" w:line="196" w:lineRule="auto"/>
        <w:ind w:left="2060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0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3"/>
          <w:w w:val="101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Not for diagnostic or therapeutic</w:t>
      </w:r>
      <w:r>
        <w:rPr>
          <w:rFonts w:ascii="Arial" w:hAnsi="Arial" w:eastAsia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sectPr>
      <w:headerReference r:id="rId6" w:type="default"/>
      <w:footerReference r:id="rId7" w:type="default"/>
      <w:pgSz w:w="11907" w:h="16839"/>
      <w:pgMar w:top="400" w:right="356" w:bottom="1403" w:left="1260" w:header="0" w:footer="99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F43CE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8ECA4">
    <w:pPr>
      <w:spacing w:line="240" w:lineRule="auto"/>
      <w:ind w:firstLine="547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918845" cy="855345"/>
          <wp:effectExtent l="0" t="0" r="14605" b="1905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8845" cy="855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ECE118">
    <w:pPr>
      <w:spacing w:before="190" w:line="50" w:lineRule="exact"/>
      <w:ind w:firstLine="7"/>
    </w:pP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DD8EC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A857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252</Words>
  <Characters>1739</Characters>
  <TotalTime>1</TotalTime>
  <ScaleCrop>false</ScaleCrop>
  <LinksUpToDate>false</LinksUpToDate>
  <CharactersWithSpaces>1986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2012-09-20T14:12:00Z</dcterms:created>
  <dc:creator>yanhua</dc:creator>
  <cp:lastModifiedBy>周亿福</cp:lastModifiedBy>
  <dcterms:modified xsi:type="dcterms:W3CDTF">2025-08-14T04:31:28Z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2025-08-14T11:00:09Z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387B5554518549E3B076D1AF0C809CC5_12</vt:lpwstr>
  </property>
</Properties>
</file>