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0AB66D">
      <w:pPr>
        <w:pStyle w:val="2"/>
        <w:spacing w:before="287" w:line="190" w:lineRule="auto"/>
        <w:ind w:left="553"/>
        <w:outlineLvl w:val="0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ERBB2 (V777A)</w:t>
      </w:r>
    </w:p>
    <w:p w14:paraId="0B2138B2">
      <w:pPr>
        <w:pStyle w:val="2"/>
        <w:spacing w:before="227" w:line="191" w:lineRule="auto"/>
        <w:ind w:left="556"/>
      </w:pPr>
      <w:r>
        <w:rPr>
          <w:b/>
          <w:bCs/>
          <w:spacing w:val="-1"/>
        </w:rPr>
        <w:t xml:space="preserve">Catalog Number: 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r>
        <w:rPr>
          <w:spacing w:val="-1"/>
        </w:rPr>
        <w:t>26080</w:t>
      </w:r>
    </w:p>
    <w:p w14:paraId="73238C0B">
      <w:pPr>
        <w:pStyle w:val="2"/>
        <w:spacing w:before="119" w:line="191" w:lineRule="auto"/>
        <w:ind w:left="556"/>
      </w:pPr>
      <w:r>
        <w:rPr>
          <w:b/>
          <w:bCs/>
        </w:rPr>
        <w:t xml:space="preserve">Gene Symbol: </w:t>
      </w:r>
      <w:r>
        <w:t>ERBB2/H</w:t>
      </w:r>
      <w:r>
        <w:rPr>
          <w:spacing w:val="-1"/>
        </w:rPr>
        <w:t>ER2/Neu</w:t>
      </w:r>
    </w:p>
    <w:p w14:paraId="39A1C621">
      <w:pPr>
        <w:pStyle w:val="2"/>
        <w:spacing w:before="119" w:line="191" w:lineRule="auto"/>
        <w:ind w:left="550"/>
      </w:pPr>
      <w:r>
        <w:pict>
          <v:shape id="_x0000_s1026" o:spid="_x0000_s1026" style="position:absolute;left:0pt;margin-left:0.35pt;margin-top:25.1pt;height:0.75pt;width:477.75pt;z-index:251659264;mso-width-relative:page;mso-height-relative:page;" filled="f" stroked="t" coordsize="9555,15" path="m7,7l9547,7e">
            <v:fill on="f" focussize="0,0"/>
            <v:stroke color="#000000" miterlimit="10" endcap="round"/>
            <v:imagedata o:title=""/>
            <o:lock v:ext="edit"/>
          </v:shape>
        </w:pict>
      </w:r>
      <w:r>
        <w:rPr>
          <w:b/>
          <w:bCs/>
        </w:rPr>
        <w:t xml:space="preserve">Description: </w:t>
      </w:r>
      <w:r>
        <w:t>Anti-ErbB2 (V777A) mouse monoclonal</w:t>
      </w:r>
      <w:r>
        <w:rPr>
          <w:spacing w:val="-11"/>
        </w:rPr>
        <w:t xml:space="preserve"> </w:t>
      </w:r>
      <w:r>
        <w:t>Antibo</w:t>
      </w:r>
      <w:r>
        <w:rPr>
          <w:spacing w:val="-1"/>
        </w:rPr>
        <w:t>dy</w:t>
      </w:r>
    </w:p>
    <w:p w14:paraId="1D10C65F">
      <w:pPr>
        <w:spacing w:before="152"/>
      </w:pPr>
    </w:p>
    <w:p w14:paraId="39B0B0A7">
      <w:pPr>
        <w:sectPr>
          <w:headerReference r:id="rId5" w:type="default"/>
          <w:footerReference r:id="rId6" w:type="default"/>
          <w:pgSz w:w="11907" w:h="16839"/>
          <w:pgMar w:top="2406" w:right="596" w:bottom="2072" w:left="1252" w:header="850" w:footer="995" w:gutter="0"/>
          <w:cols w:equalWidth="0" w:num="1">
            <w:col w:w="10058"/>
          </w:cols>
        </w:sectPr>
      </w:pPr>
    </w:p>
    <w:p w14:paraId="789312D0">
      <w:pPr>
        <w:pStyle w:val="2"/>
        <w:spacing w:before="38" w:line="191" w:lineRule="auto"/>
        <w:ind w:left="552"/>
      </w:pPr>
      <w:r>
        <w:rPr>
          <w:b/>
          <w:bCs/>
        </w:rPr>
        <w:t>Background</w:t>
      </w:r>
      <w:r>
        <w:rPr>
          <w:b/>
          <w:bCs/>
          <w:spacing w:val="1"/>
        </w:rPr>
        <w:t xml:space="preserve">: </w:t>
      </w:r>
      <w:r>
        <w:t>The</w:t>
      </w:r>
      <w:r>
        <w:rPr>
          <w:spacing w:val="1"/>
        </w:rPr>
        <w:t xml:space="preserve"> </w:t>
      </w:r>
      <w:r>
        <w:t>ErbB</w:t>
      </w:r>
      <w:r>
        <w:rPr>
          <w:spacing w:val="1"/>
        </w:rPr>
        <w:t xml:space="preserve"> </w:t>
      </w:r>
      <w:r>
        <w:t>family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composed</w:t>
      </w:r>
      <w:r>
        <w:rPr>
          <w:spacing w:val="1"/>
        </w:rPr>
        <w:t xml:space="preserve"> </w:t>
      </w:r>
      <w:r>
        <w:t>of</w:t>
      </w:r>
    </w:p>
    <w:p w14:paraId="19B50FBC">
      <w:pPr>
        <w:pStyle w:val="2"/>
        <w:spacing w:before="120" w:line="191" w:lineRule="auto"/>
        <w:ind w:left="556"/>
      </w:pPr>
      <w:r>
        <w:t>four plasma membrane-bound recepto</w:t>
      </w:r>
      <w:r>
        <w:rPr>
          <w:spacing w:val="-1"/>
        </w:rPr>
        <w:t>r tyrosine</w:t>
      </w:r>
    </w:p>
    <w:p w14:paraId="4DF81956">
      <w:pPr>
        <w:pStyle w:val="2"/>
        <w:spacing w:before="120" w:line="295" w:lineRule="auto"/>
        <w:ind w:left="551" w:right="478" w:hanging="2"/>
      </w:pPr>
      <w:r>
        <w:t>kinases</w:t>
      </w:r>
      <w:r>
        <w:rPr>
          <w:spacing w:val="2"/>
        </w:rPr>
        <w:t>.</w:t>
      </w:r>
      <w:r>
        <w:rPr>
          <w:spacing w:val="-7"/>
        </w:rPr>
        <w:t xml:space="preserve"> </w:t>
      </w:r>
      <w:r>
        <w:t>Amplification</w:t>
      </w:r>
      <w:r>
        <w:rPr>
          <w:spacing w:val="2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over</w:t>
      </w:r>
      <w:r>
        <w:rPr>
          <w:spacing w:val="2"/>
        </w:rPr>
        <w:t>-</w:t>
      </w:r>
      <w:r>
        <w:t>expression</w:t>
      </w:r>
      <w:r>
        <w:rPr>
          <w:spacing w:val="2"/>
        </w:rPr>
        <w:t xml:space="preserve"> </w:t>
      </w:r>
      <w:r>
        <w:t>of</w:t>
      </w:r>
      <w:r>
        <w:rPr>
          <w:spacing w:val="-20"/>
        </w:rPr>
        <w:t xml:space="preserve"> </w:t>
      </w:r>
      <w:r>
        <w:t>the ERBB2 gene occurs in approximately</w:t>
      </w:r>
      <w:r>
        <w:rPr>
          <w:spacing w:val="10"/>
        </w:rPr>
        <w:t xml:space="preserve"> </w:t>
      </w:r>
      <w:r>
        <w:t>30%</w:t>
      </w:r>
      <w:r>
        <w:rPr>
          <w:spacing w:val="7"/>
        </w:rPr>
        <w:t xml:space="preserve"> </w:t>
      </w:r>
      <w:r>
        <w:t>of</w:t>
      </w:r>
    </w:p>
    <w:p w14:paraId="3BFD6AB9">
      <w:pPr>
        <w:pStyle w:val="2"/>
        <w:spacing w:before="31" w:line="191" w:lineRule="auto"/>
        <w:ind w:left="547"/>
      </w:pPr>
      <w:r>
        <w:t>breast</w:t>
      </w:r>
      <w:r>
        <w:rPr>
          <w:spacing w:val="1"/>
        </w:rPr>
        <w:t xml:space="preserve"> </w:t>
      </w:r>
      <w:r>
        <w:t>cancers</w:t>
      </w:r>
      <w:r>
        <w:rPr>
          <w:spacing w:val="1"/>
        </w:rPr>
        <w:t xml:space="preserve">. </w:t>
      </w:r>
      <w:r>
        <w:t>HER</w:t>
      </w:r>
      <w:r>
        <w:rPr>
          <w:spacing w:val="1"/>
        </w:rPr>
        <w:t xml:space="preserve">2 </w:t>
      </w:r>
      <w:r>
        <w:t>is</w:t>
      </w:r>
      <w:r>
        <w:rPr>
          <w:spacing w:val="1"/>
        </w:rPr>
        <w:t xml:space="preserve"> </w:t>
      </w:r>
      <w:r>
        <w:t>encoded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ERBB</w:t>
      </w:r>
      <w:r>
        <w:rPr>
          <w:spacing w:val="1"/>
        </w:rPr>
        <w:t>2, a</w:t>
      </w:r>
    </w:p>
    <w:p w14:paraId="7DCB3564">
      <w:pPr>
        <w:pStyle w:val="2"/>
        <w:spacing w:before="121" w:line="294" w:lineRule="auto"/>
        <w:ind w:left="549" w:right="352"/>
      </w:pPr>
      <w:r>
        <w:t>known</w:t>
      </w:r>
      <w:r>
        <w:rPr>
          <w:spacing w:val="2"/>
        </w:rPr>
        <w:t xml:space="preserve"> </w:t>
      </w:r>
      <w:r>
        <w:t>proto</w:t>
      </w:r>
      <w:r>
        <w:rPr>
          <w:spacing w:val="2"/>
        </w:rPr>
        <w:t>-</w:t>
      </w:r>
      <w:r>
        <w:t>oncogene</w:t>
      </w:r>
      <w:r>
        <w:rPr>
          <w:spacing w:val="2"/>
        </w:rPr>
        <w:t xml:space="preserve"> </w:t>
      </w:r>
      <w:r>
        <w:t>located</w:t>
      </w:r>
      <w:r>
        <w:rPr>
          <w:spacing w:val="2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long</w:t>
      </w:r>
      <w:r>
        <w:rPr>
          <w:spacing w:val="2"/>
        </w:rPr>
        <w:t xml:space="preserve"> </w:t>
      </w:r>
      <w:r>
        <w:t>arm</w:t>
      </w:r>
      <w:r>
        <w:rPr>
          <w:spacing w:val="2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1"/>
        </w:rPr>
        <w:t>human chromosome</w:t>
      </w:r>
      <w:r>
        <w:rPr>
          <w:spacing w:val="37"/>
        </w:rPr>
        <w:t xml:space="preserve"> </w:t>
      </w:r>
      <w:r>
        <w:rPr>
          <w:spacing w:val="-1"/>
        </w:rPr>
        <w:t>17(17q21-q22). HER2</w:t>
      </w:r>
    </w:p>
    <w:p w14:paraId="6E7D8CE9">
      <w:pPr>
        <w:pStyle w:val="2"/>
        <w:spacing w:before="30" w:line="300" w:lineRule="auto"/>
        <w:ind w:left="549" w:right="335" w:hanging="2"/>
      </w:pPr>
      <w:r>
        <w:t>proteins have been shown to form clust</w:t>
      </w:r>
      <w:r>
        <w:rPr>
          <w:spacing w:val="-1"/>
        </w:rPr>
        <w:t>ers in</w:t>
      </w:r>
      <w:r>
        <w:rPr>
          <w:spacing w:val="7"/>
        </w:rPr>
        <w:t xml:space="preserve"> </w:t>
      </w:r>
      <w:r>
        <w:rPr>
          <w:spacing w:val="-1"/>
        </w:rPr>
        <w:t>cell</w:t>
      </w:r>
      <w:r>
        <w:t xml:space="preserve">  membranes that may play a role in tumorigenes</w:t>
      </w:r>
      <w:r>
        <w:rPr>
          <w:spacing w:val="-1"/>
        </w:rPr>
        <w:t>is.</w:t>
      </w:r>
      <w:r>
        <w:t xml:space="preserve"> Mutations</w:t>
      </w:r>
      <w:r>
        <w:rPr>
          <w:spacing w:val="1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ErbB</w:t>
      </w:r>
      <w:r>
        <w:rPr>
          <w:spacing w:val="1"/>
        </w:rPr>
        <w:t xml:space="preserve">2 </w:t>
      </w:r>
      <w:r>
        <w:t>protein</w:t>
      </w:r>
      <w:r>
        <w:rPr>
          <w:spacing w:val="1"/>
        </w:rPr>
        <w:t xml:space="preserve">, </w:t>
      </w:r>
      <w:r>
        <w:t>including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>777A,</w:t>
      </w:r>
    </w:p>
    <w:p w14:paraId="153A92D9">
      <w:pPr>
        <w:pStyle w:val="2"/>
        <w:spacing w:before="32" w:line="233" w:lineRule="auto"/>
        <w:ind w:left="549"/>
      </w:pPr>
      <w:r>
        <w:t>have been indicated in human cancers.</w:t>
      </w:r>
    </w:p>
    <w:p w14:paraId="6AECF57B">
      <w:pPr>
        <w:pStyle w:val="2"/>
        <w:spacing w:before="78" w:line="294" w:lineRule="auto"/>
        <w:ind w:left="555" w:right="324" w:hanging="3"/>
      </w:pPr>
      <w:r>
        <w:rPr>
          <w:b/>
          <w:bCs/>
        </w:rPr>
        <w:t>Immunogen:</w:t>
      </w:r>
      <w:r>
        <w:rPr>
          <w:b/>
          <w:bCs/>
          <w:spacing w:val="-10"/>
        </w:rPr>
        <w:t xml:space="preserve"> </w:t>
      </w:r>
      <w:r>
        <w:t>A synthetic peptide s</w:t>
      </w:r>
      <w:r>
        <w:rPr>
          <w:spacing w:val="-1"/>
        </w:rPr>
        <w:t>urrounding the</w:t>
      </w:r>
      <w:r>
        <w:t xml:space="preserve"> </w:t>
      </w:r>
      <w:r>
        <w:rPr>
          <w:spacing w:val="4"/>
        </w:rPr>
        <w:t>777</w:t>
      </w:r>
      <w:r>
        <w:t>A</w:t>
      </w:r>
      <w:r>
        <w:rPr>
          <w:spacing w:val="4"/>
        </w:rPr>
        <w:t xml:space="preserve"> </w:t>
      </w:r>
      <w:r>
        <w:t>codon</w:t>
      </w:r>
      <w:r>
        <w:rPr>
          <w:spacing w:val="4"/>
        </w:rPr>
        <w:t xml:space="preserve"> </w:t>
      </w:r>
      <w:r>
        <w:t>ofErbB</w:t>
      </w:r>
      <w:r>
        <w:rPr>
          <w:spacing w:val="4"/>
        </w:rPr>
        <w:t xml:space="preserve">2 </w:t>
      </w:r>
      <w:r>
        <w:t>protein</w:t>
      </w:r>
      <w:r>
        <w:rPr>
          <w:b/>
          <w:bCs/>
          <w:spacing w:val="4"/>
        </w:rPr>
        <w:t>.</w:t>
      </w:r>
    </w:p>
    <w:p w14:paraId="57C5983B">
      <w:pPr>
        <w:pStyle w:val="2"/>
        <w:spacing w:before="32" w:line="310" w:lineRule="auto"/>
        <w:ind w:left="551" w:right="1182" w:firstLine="3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>ELISA, WB, IHC</w:t>
      </w:r>
      <w:r>
        <w:rPr>
          <w:spacing w:val="6"/>
        </w:rPr>
        <w:t xml:space="preserve"> </w:t>
      </w:r>
      <w:r>
        <w:rPr>
          <w:b/>
          <w:bCs/>
        </w:rPr>
        <w:t>Recommended dilution</w:t>
      </w:r>
      <w:r>
        <w:rPr>
          <w:b/>
          <w:bCs/>
          <w:spacing w:val="-1"/>
        </w:rPr>
        <w:t>s:</w:t>
      </w:r>
    </w:p>
    <w:tbl>
      <w:tblPr>
        <w:tblStyle w:val="6"/>
        <w:tblW w:w="2345" w:type="dxa"/>
        <w:tblInd w:w="55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7"/>
        <w:gridCol w:w="1448"/>
      </w:tblGrid>
      <w:tr w14:paraId="72ED916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 w:hRule="atLeast"/>
        </w:trPr>
        <w:tc>
          <w:tcPr>
            <w:tcW w:w="897" w:type="dxa"/>
            <w:vAlign w:val="top"/>
          </w:tcPr>
          <w:p w14:paraId="555CED79">
            <w:pPr>
              <w:spacing w:before="2" w:line="312" w:lineRule="auto"/>
              <w:ind w:right="305" w:firstLine="1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ELISA</w:t>
            </w:r>
            <w:r>
              <w:rPr>
                <w:rFonts w:ascii="Times New Roman" w:hAnsi="Times New Roman" w:eastAsia="Times New Roman" w:cs="Times New Roman"/>
                <w:spacing w:val="3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>WB</w:t>
            </w:r>
          </w:p>
          <w:p w14:paraId="5B1155B7">
            <w:pPr>
              <w:spacing w:line="184" w:lineRule="auto"/>
              <w:ind w:left="2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1"/>
                <w:szCs w:val="21"/>
              </w:rPr>
              <w:t>IF</w:t>
            </w:r>
          </w:p>
          <w:p w14:paraId="1EC8ED3F">
            <w:pPr>
              <w:spacing w:before="123" w:line="177" w:lineRule="auto"/>
              <w:ind w:left="2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IHC</w:t>
            </w:r>
          </w:p>
        </w:tc>
        <w:tc>
          <w:tcPr>
            <w:tcW w:w="1448" w:type="dxa"/>
            <w:vAlign w:val="top"/>
          </w:tcPr>
          <w:p w14:paraId="77A01AC8">
            <w:pPr>
              <w:spacing w:line="233" w:lineRule="auto"/>
              <w:jc w:val="right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1:500-1:5000</w:t>
            </w:r>
          </w:p>
          <w:p w14:paraId="0719A51C">
            <w:pPr>
              <w:spacing w:before="77" w:line="233" w:lineRule="auto"/>
              <w:ind w:left="305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1"/>
                <w:szCs w:val="21"/>
              </w:rPr>
              <w:t>1:200-1:2000</w:t>
            </w:r>
          </w:p>
          <w:p w14:paraId="6A68E69A">
            <w:pPr>
              <w:spacing w:before="77" w:line="233" w:lineRule="auto"/>
              <w:ind w:left="361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1"/>
                <w:szCs w:val="21"/>
              </w:rPr>
              <w:t>1:100</w:t>
            </w:r>
          </w:p>
          <w:p w14:paraId="18AC3EA2">
            <w:pPr>
              <w:spacing w:before="77" w:line="180" w:lineRule="auto"/>
              <w:ind w:left="387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1"/>
                <w:szCs w:val="21"/>
              </w:rPr>
              <w:t>1:50-1:100</w:t>
            </w:r>
          </w:p>
        </w:tc>
      </w:tr>
    </w:tbl>
    <w:p w14:paraId="10198CD4">
      <w:pPr>
        <w:pStyle w:val="2"/>
        <w:spacing w:before="120" w:line="191" w:lineRule="auto"/>
        <w:ind w:left="556"/>
      </w:pPr>
      <w:r>
        <w:rPr>
          <w:b/>
          <w:bCs/>
          <w:spacing w:val="-1"/>
        </w:rPr>
        <w:t xml:space="preserve">Concentration: </w:t>
      </w:r>
      <w:r>
        <w:rPr>
          <w:spacing w:val="-1"/>
        </w:rPr>
        <w:t>0.2 mg/ml</w:t>
      </w:r>
    </w:p>
    <w:p w14:paraId="75E03D55">
      <w:pPr>
        <w:pStyle w:val="2"/>
        <w:spacing w:before="126" w:line="184" w:lineRule="auto"/>
        <w:ind w:left="552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2DF97F87">
      <w:pPr>
        <w:pStyle w:val="2"/>
        <w:spacing w:before="121" w:line="191" w:lineRule="auto"/>
        <w:ind w:left="556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5CC93779">
      <w:pPr>
        <w:pStyle w:val="2"/>
        <w:spacing w:before="119" w:line="191" w:lineRule="auto"/>
        <w:ind w:left="553"/>
      </w:pPr>
      <w:r>
        <w:rPr>
          <w:b/>
          <w:bCs/>
        </w:rPr>
        <w:t xml:space="preserve">Purity: </w:t>
      </w:r>
      <w:r>
        <w:t xml:space="preserve">Purified from </w:t>
      </w:r>
      <w:r>
        <w:rPr>
          <w:spacing w:val="-1"/>
        </w:rPr>
        <w:t>serum</w:t>
      </w:r>
    </w:p>
    <w:p w14:paraId="4C53BBA4">
      <w:pPr>
        <w:pStyle w:val="2"/>
        <w:spacing w:before="120" w:line="298" w:lineRule="auto"/>
        <w:ind w:left="558" w:right="3159" w:hanging="6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  <w:r>
        <w:rPr>
          <w:spacing w:val="8"/>
        </w:rPr>
        <w:t xml:space="preserve"> </w:t>
      </w:r>
      <w:r>
        <w:rPr>
          <w:b/>
          <w:bCs/>
          <w:spacing w:val="-2"/>
        </w:rPr>
        <w:t>Storage buffer:</w:t>
      </w:r>
    </w:p>
    <w:p w14:paraId="596A374E">
      <w:pPr>
        <w:pStyle w:val="2"/>
        <w:spacing w:before="25" w:line="233" w:lineRule="auto"/>
        <w:ind w:left="551"/>
      </w:pPr>
      <w:r>
        <w:rPr>
          <w:spacing w:val="-1"/>
        </w:rPr>
        <w:t>Preservative: no</w:t>
      </w:r>
    </w:p>
    <w:p w14:paraId="0F4956A4">
      <w:pPr>
        <w:pStyle w:val="2"/>
        <w:spacing w:before="27" w:line="307" w:lineRule="auto"/>
        <w:ind w:left="555" w:right="505"/>
      </w:pPr>
      <w:r>
        <w:t>Constituents: PBS (without Mg</w:t>
      </w:r>
      <w:r>
        <w:rPr>
          <w:position w:val="9"/>
          <w:sz w:val="13"/>
          <w:szCs w:val="13"/>
        </w:rPr>
        <w:t xml:space="preserve">2+  </w:t>
      </w:r>
      <w:r>
        <w:t>and Ca</w:t>
      </w:r>
      <w:r>
        <w:rPr>
          <w:position w:val="9"/>
          <w:sz w:val="13"/>
          <w:szCs w:val="13"/>
        </w:rPr>
        <w:t>2+</w:t>
      </w:r>
      <w:r>
        <w:t>), pH</w:t>
      </w:r>
      <w:r>
        <w:rPr>
          <w:spacing w:val="3"/>
        </w:rPr>
        <w:t xml:space="preserve"> </w:t>
      </w:r>
      <w:r>
        <w:rPr>
          <w:spacing w:val="-1"/>
        </w:rPr>
        <w:t>7.4,</w:t>
      </w:r>
      <w:r>
        <w:rPr>
          <w:spacing w:val="25"/>
        </w:rPr>
        <w:t xml:space="preserve"> </w:t>
      </w:r>
      <w:r>
        <w:rPr>
          <w:spacing w:val="-1"/>
        </w:rPr>
        <w:t>150 mM NaCl, 50% glycer</w:t>
      </w:r>
      <w:r>
        <w:rPr>
          <w:spacing w:val="-2"/>
        </w:rPr>
        <w:t>ol</w:t>
      </w:r>
    </w:p>
    <w:p w14:paraId="49001686">
      <w:pPr>
        <w:pStyle w:val="2"/>
        <w:spacing w:before="43" w:line="299" w:lineRule="auto"/>
        <w:ind w:left="547" w:right="522" w:firstLine="11"/>
      </w:pPr>
      <w:r>
        <w:rPr>
          <w:b/>
          <w:bCs/>
        </w:rPr>
        <w:t>Species Reactivity:</w:t>
      </w:r>
      <w:r>
        <w:rPr>
          <w:b/>
          <w:bCs/>
          <w:spacing w:val="-1"/>
        </w:rPr>
        <w:t xml:space="preserve"> </w:t>
      </w:r>
      <w:r>
        <w:rPr>
          <w:spacing w:val="-1"/>
        </w:rPr>
        <w:t>Recognizes V777A mutant</w:t>
      </w:r>
      <w:r>
        <w:t xml:space="preserve"> but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wild</w:t>
      </w:r>
      <w:r>
        <w:rPr>
          <w:spacing w:val="1"/>
        </w:rPr>
        <w:t xml:space="preserve"> </w:t>
      </w:r>
      <w:r>
        <w:t>type</w:t>
      </w:r>
      <w:r>
        <w:rPr>
          <w:spacing w:val="1"/>
        </w:rPr>
        <w:t xml:space="preserve"> </w:t>
      </w:r>
      <w:r>
        <w:t>ErbB</w:t>
      </w:r>
      <w:r>
        <w:rPr>
          <w:spacing w:val="1"/>
        </w:rPr>
        <w:t xml:space="preserve">2 </w:t>
      </w:r>
      <w:r>
        <w:t>protein</w:t>
      </w:r>
      <w:r>
        <w:rPr>
          <w:spacing w:val="1"/>
        </w:rPr>
        <w:t>,</w:t>
      </w:r>
      <w:r>
        <w:rPr>
          <w:spacing w:val="-4"/>
        </w:rPr>
        <w:t xml:space="preserve"> </w:t>
      </w:r>
      <w:r>
        <w:t>of</w:t>
      </w:r>
      <w:r>
        <w:rPr>
          <w:spacing w:val="-20"/>
        </w:rPr>
        <w:t xml:space="preserve"> </w:t>
      </w:r>
      <w:r>
        <w:t>vertebrates</w:t>
      </w:r>
      <w:r>
        <w:rPr>
          <w:spacing w:val="1"/>
        </w:rPr>
        <w:t>.</w:t>
      </w:r>
      <w:r>
        <w:t xml:space="preserve">  </w:t>
      </w:r>
      <w:r>
        <w:rPr>
          <w:b/>
          <w:bCs/>
          <w:spacing w:val="-1"/>
        </w:rPr>
        <w:t>Storage Conditions:</w:t>
      </w:r>
      <w:r>
        <w:rPr>
          <w:b/>
          <w:bCs/>
          <w:spacing w:val="18"/>
          <w:w w:val="101"/>
        </w:rPr>
        <w:t xml:space="preserve"> </w:t>
      </w:r>
      <w:r>
        <w:rPr>
          <w:spacing w:val="-1"/>
        </w:rPr>
        <w:t>Store at -20°C.</w:t>
      </w:r>
      <w:r>
        <w:rPr>
          <w:spacing w:val="-10"/>
        </w:rPr>
        <w:t xml:space="preserve"> </w:t>
      </w:r>
      <w:r>
        <w:rPr>
          <w:spacing w:val="-1"/>
        </w:rPr>
        <w:t>A</w:t>
      </w:r>
      <w:r>
        <w:rPr>
          <w:spacing w:val="-2"/>
        </w:rPr>
        <w:t>void</w:t>
      </w:r>
    </w:p>
    <w:p w14:paraId="44956909">
      <w:pPr>
        <w:pStyle w:val="2"/>
        <w:spacing w:before="32" w:line="191" w:lineRule="auto"/>
        <w:ind w:left="556"/>
      </w:pPr>
      <w:r>
        <w:rPr>
          <w:spacing w:val="-1"/>
        </w:rPr>
        <w:t>freeze / thaw cycles</w:t>
      </w:r>
    </w:p>
    <w:p w14:paraId="2B09A90A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4442D9FF">
      <w:pPr>
        <w:pStyle w:val="2"/>
        <w:spacing w:before="42" w:line="230" w:lineRule="auto"/>
        <w:ind w:left="4"/>
      </w:pPr>
      <w:r>
        <w:rPr>
          <w:b/>
          <w:bCs/>
          <w:spacing w:val="-1"/>
        </w:rPr>
        <w:t>Immunofluorescence:</w:t>
      </w:r>
    </w:p>
    <w:p w14:paraId="2E4260CE">
      <w:pPr>
        <w:spacing w:before="185" w:line="4356" w:lineRule="exact"/>
        <w:ind w:firstLine="77"/>
      </w:pPr>
      <w:r>
        <w:rPr>
          <w:position w:val="-87"/>
        </w:rPr>
        <w:drawing>
          <wp:inline distT="0" distB="0" distL="0" distR="0">
            <wp:extent cx="2722880" cy="276542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23134" cy="2766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A34ED">
      <w:pPr>
        <w:spacing w:line="468" w:lineRule="auto"/>
        <w:rPr>
          <w:rFonts w:ascii="Arial"/>
          <w:sz w:val="21"/>
        </w:rPr>
      </w:pPr>
    </w:p>
    <w:p w14:paraId="1EFA24E4">
      <w:pPr>
        <w:pStyle w:val="2"/>
        <w:spacing w:before="61" w:line="295" w:lineRule="auto"/>
        <w:ind w:left="4" w:right="702"/>
      </w:pPr>
      <w:r>
        <w:rPr>
          <w:b/>
          <w:bCs/>
        </w:rPr>
        <w:t>Immunofluorescence of cells expres</w:t>
      </w:r>
      <w:r>
        <w:rPr>
          <w:b/>
          <w:bCs/>
          <w:spacing w:val="-1"/>
        </w:rPr>
        <w:t>sing ErbB2</w:t>
      </w:r>
      <w:r>
        <w:rPr>
          <w:b/>
          <w:bCs/>
        </w:rPr>
        <w:t xml:space="preserve"> proteins with anti-ErbB2 (V777A) antib</w:t>
      </w:r>
      <w:r>
        <w:rPr>
          <w:b/>
          <w:bCs/>
          <w:spacing w:val="-1"/>
        </w:rPr>
        <w:t>ody.</w:t>
      </w:r>
    </w:p>
    <w:p w14:paraId="2B43A8EB">
      <w:pPr>
        <w:pStyle w:val="2"/>
        <w:spacing w:before="26" w:line="233" w:lineRule="auto"/>
        <w:ind w:left="4"/>
      </w:pPr>
      <w:r>
        <w:t>HEK293T cells were transfect</w:t>
      </w:r>
      <w:r>
        <w:rPr>
          <w:spacing w:val="-1"/>
        </w:rPr>
        <w:t>ed with</w:t>
      </w:r>
    </w:p>
    <w:p w14:paraId="02B99637">
      <w:pPr>
        <w:pStyle w:val="2"/>
        <w:spacing w:before="78" w:line="302" w:lineRule="auto"/>
        <w:ind w:left="6" w:right="713" w:hanging="7"/>
      </w:pPr>
      <w:r>
        <w:t>pCDNA3-GFP- ErbB2 WT plasmid (le</w:t>
      </w:r>
      <w:r>
        <w:rPr>
          <w:spacing w:val="-1"/>
        </w:rPr>
        <w:t>ft column)</w:t>
      </w:r>
      <w:r>
        <w:t xml:space="preserve"> or pCDNA3-GFP-ErbB2 (V777A) plasmid</w:t>
      </w:r>
      <w:r>
        <w:rPr>
          <w:spacing w:val="-1"/>
        </w:rPr>
        <w:t xml:space="preserve"> (right</w:t>
      </w:r>
      <w:r>
        <w:t xml:space="preserve"> column), then fixed and stained</w:t>
      </w:r>
      <w:r>
        <w:rPr>
          <w:spacing w:val="-1"/>
        </w:rPr>
        <w:t xml:space="preserve"> with</w:t>
      </w:r>
      <w:r>
        <w:rPr>
          <w:spacing w:val="8"/>
        </w:rPr>
        <w:t xml:space="preserve"> </w:t>
      </w:r>
      <w:r>
        <w:rPr>
          <w:spacing w:val="-1"/>
        </w:rPr>
        <w:t>anti-ErbB2</w:t>
      </w:r>
      <w:r>
        <w:t xml:space="preserve">   (V777A) monoclonal antibody (Cat. #26080).</w:t>
      </w:r>
    </w:p>
    <w:sectPr>
      <w:type w:val="continuous"/>
      <w:pgSz w:w="11907" w:h="16839"/>
      <w:pgMar w:top="2406" w:right="596" w:bottom="2072" w:left="1252" w:header="850" w:footer="995" w:gutter="0"/>
      <w:cols w:equalWidth="0" w:num="2">
        <w:col w:w="5071" w:space="100"/>
        <w:col w:w="4887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A9FC83">
    <w:p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科博瑞（武汉）生物科技有限公司</w:t>
    </w:r>
    <w:bookmarkStart w:id="0" w:name="_GoBack"/>
    <w:bookmarkEnd w:id="0"/>
  </w:p>
  <w:p w14:paraId="280802E6">
    <w:p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TEL：027-87615885  15972062685</w:t>
    </w:r>
  </w:p>
  <w:p w14:paraId="41456E60">
    <w:pPr>
      <w:numPr>
        <w:ilvl w:val="0"/>
        <w:numId w:val="1"/>
      </w:num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mail：</w: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begin"/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instrText xml:space="preserve"> HYPERLINK "mailto:3636901710@qq.com" </w:instrTex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separate"/>
    </w:r>
    <w:r>
      <w:rPr>
        <w:rStyle w:val="5"/>
        <w:rFonts w:hint="default" w:ascii="Arial" w:hAnsi="Arial" w:eastAsia="宋体" w:cs="Arial"/>
        <w:b/>
        <w:bCs/>
        <w:sz w:val="18"/>
        <w:szCs w:val="18"/>
        <w:lang w:val="en-US" w:eastAsia="zh-CN"/>
      </w:rPr>
      <w:t>3636901710@qq.com</w: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end"/>
    </w:r>
  </w:p>
  <w:p w14:paraId="61923241">
    <w:pPr>
      <w:numPr>
        <w:ilvl w:val="0"/>
        <w:numId w:val="0"/>
      </w:num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Web:www.coburybio.com</w:t>
    </w:r>
  </w:p>
  <w:p w14:paraId="680EC16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4E15E5">
    <w:pPr>
      <w:spacing w:line="240" w:lineRule="auto"/>
      <w:ind w:firstLine="547"/>
    </w:pPr>
    <w:r>
      <w:rPr>
        <w:rFonts w:hint="eastAsia" w:eastAsia="宋体"/>
        <w:lang w:eastAsia="zh-CN"/>
      </w:rPr>
      <w:drawing>
        <wp:inline distT="0" distB="0" distL="114300" distR="114300">
          <wp:extent cx="843915" cy="786130"/>
          <wp:effectExtent l="0" t="0" r="13335" b="13970"/>
          <wp:docPr id="1" name="图片 1" descr="9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99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43915" cy="786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position w:val="-2"/>
      </w:rPr>
      <w:pict>
        <v:shape id="_x0000_s2049" o:spid="_x0000_s2049" style="height:3pt;width:502.5pt;" filled="f" stroked="t" coordsize="10050,60" path="m0,30l10050,30e">
          <v:fill on="f" focussize="0,0"/>
          <v:stroke weight="3pt" color="#008000" miterlimit="10"/>
          <v:imagedata o:title=""/>
          <o:lock v:ext="edit"/>
          <w10:wrap type="non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F923E6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character" w:styleId="5">
    <w:name w:val="Hyperlink"/>
    <w:basedOn w:val="4"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205</Words>
  <Characters>1289</Characters>
  <TotalTime>1</TotalTime>
  <ScaleCrop>false</ScaleCrop>
  <LinksUpToDate>false</LinksUpToDate>
  <CharactersWithSpaces>1466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2012-09-25T10:39:00Z</dcterms:created>
  <dc:creator>yanghanbin</dc:creator>
  <cp:lastModifiedBy>周亿福</cp:lastModifiedBy>
  <dcterms:modified xsi:type="dcterms:W3CDTF">2025-08-14T04:29:40Z</dcterms:modified>
  <dc:subject>Datesheet</dc:subject>
  <dc:title>erbb2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2025-08-14T11:00:08Z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A138F472A14A4829AB30FFB8E0A1CEC2_12</vt:lpwstr>
  </property>
</Properties>
</file>