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507BE">
      <w:pPr>
        <w:pStyle w:val="2"/>
        <w:spacing w:before="287" w:line="190" w:lineRule="auto"/>
        <w:ind w:left="558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TP53(R282W)</w:t>
      </w:r>
    </w:p>
    <w:p w14:paraId="0E447476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26076</w:t>
      </w:r>
    </w:p>
    <w:p w14:paraId="70BB6445">
      <w:pPr>
        <w:pStyle w:val="2"/>
        <w:spacing w:before="119" w:line="191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TP53(R282W)</w:t>
      </w:r>
    </w:p>
    <w:p w14:paraId="79F29B2C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Anti-TP53(R282W) Mouse Monoclonal</w:t>
      </w:r>
      <w:r>
        <w:rPr>
          <w:spacing w:val="-13"/>
        </w:rPr>
        <w:t xml:space="preserve"> </w:t>
      </w:r>
      <w:r>
        <w:t>Antibody</w:t>
      </w:r>
    </w:p>
    <w:p w14:paraId="388945C4">
      <w:pPr>
        <w:spacing w:before="128"/>
      </w:pPr>
    </w:p>
    <w:p w14:paraId="2F7096E3">
      <w:pPr>
        <w:sectPr>
          <w:headerReference r:id="rId5" w:type="default"/>
          <w:footerReference r:id="rId6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402DEAED">
      <w:pPr>
        <w:pStyle w:val="2"/>
        <w:spacing w:before="39" w:line="294" w:lineRule="auto"/>
        <w:ind w:left="555" w:right="515" w:hanging="3"/>
      </w:pPr>
      <w:r>
        <w:rPr>
          <w:b/>
          <w:bCs/>
        </w:rPr>
        <w:t xml:space="preserve">Background: </w:t>
      </w:r>
      <w:r>
        <w:t>TP53 belongs to the p5</w:t>
      </w:r>
      <w:r>
        <w:rPr>
          <w:spacing w:val="-1"/>
        </w:rPr>
        <w:t>3 proteins</w:t>
      </w:r>
      <w:r>
        <w:t xml:space="preserve"> </w:t>
      </w:r>
      <w:r>
        <w:rPr>
          <w:spacing w:val="-1"/>
        </w:rPr>
        <w:t>family. It is ubiquitously expressed, acts</w:t>
      </w:r>
      <w:r>
        <w:rPr>
          <w:spacing w:val="24"/>
          <w:w w:val="101"/>
        </w:rPr>
        <w:t xml:space="preserve"> </w:t>
      </w:r>
      <w:r>
        <w:rPr>
          <w:spacing w:val="-1"/>
        </w:rPr>
        <w:t>as</w:t>
      </w:r>
      <w:r>
        <w:rPr>
          <w:spacing w:val="8"/>
        </w:rPr>
        <w:t xml:space="preserve"> </w:t>
      </w:r>
      <w:r>
        <w:rPr>
          <w:spacing w:val="-1"/>
        </w:rPr>
        <w:t>a</w:t>
      </w:r>
    </w:p>
    <w:p w14:paraId="5306722C">
      <w:pPr>
        <w:pStyle w:val="2"/>
        <w:spacing w:before="32" w:line="191" w:lineRule="auto"/>
        <w:ind w:left="550"/>
      </w:pPr>
      <w:r>
        <w:t>tumor suppressor in many tumor types and</w:t>
      </w:r>
    </w:p>
    <w:p w14:paraId="6B021890">
      <w:pPr>
        <w:pStyle w:val="2"/>
        <w:spacing w:before="121" w:line="294" w:lineRule="auto"/>
        <w:ind w:left="550" w:right="451" w:firstLine="4"/>
      </w:pPr>
      <w:r>
        <w:t>induces growth arrest or apoptosis d</w:t>
      </w:r>
      <w:r>
        <w:rPr>
          <w:spacing w:val="-1"/>
        </w:rPr>
        <w:t>epending</w:t>
      </w:r>
      <w:r>
        <w:rPr>
          <w:spacing w:val="5"/>
        </w:rPr>
        <w:t xml:space="preserve"> </w:t>
      </w:r>
      <w:r>
        <w:rPr>
          <w:spacing w:val="-1"/>
        </w:rPr>
        <w:t>on</w:t>
      </w:r>
      <w:r>
        <w:t xml:space="preserve"> the physiological circumstances and cell </w:t>
      </w:r>
      <w:r>
        <w:rPr>
          <w:spacing w:val="-1"/>
        </w:rPr>
        <w:t>type.</w:t>
      </w:r>
    </w:p>
    <w:p w14:paraId="487DB603">
      <w:pPr>
        <w:pStyle w:val="2"/>
        <w:spacing w:before="32" w:line="294" w:lineRule="auto"/>
        <w:ind w:left="554" w:right="974" w:hanging="3"/>
      </w:pPr>
      <w:r>
        <w:t>Defects in TP53 are a cause</w:t>
      </w:r>
      <w:r>
        <w:rPr>
          <w:spacing w:val="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esophageal cancer (ESCR), lung cancer (LN</w:t>
      </w:r>
      <w:r>
        <w:rPr>
          <w:spacing w:val="-1"/>
        </w:rPr>
        <w:t>CR),</w:t>
      </w:r>
    </w:p>
    <w:p w14:paraId="10924F26">
      <w:pPr>
        <w:pStyle w:val="2"/>
        <w:spacing w:before="33" w:line="294" w:lineRule="auto"/>
        <w:ind w:left="547" w:right="872" w:firstLine="8"/>
      </w:pPr>
      <w:r>
        <w:t>adrenocortical carcinoma (ADCC), c</w:t>
      </w:r>
      <w:r>
        <w:rPr>
          <w:spacing w:val="-1"/>
        </w:rPr>
        <w:t>horoid</w:t>
      </w:r>
      <w:r>
        <w:t xml:space="preserve"> </w:t>
      </w:r>
      <w:r>
        <w:rPr>
          <w:spacing w:val="-1"/>
        </w:rPr>
        <w:t>plexus papilloma (CPLPA) and so</w:t>
      </w:r>
      <w:r>
        <w:rPr>
          <w:spacing w:val="17"/>
        </w:rPr>
        <w:t xml:space="preserve"> </w:t>
      </w:r>
      <w:r>
        <w:rPr>
          <w:spacing w:val="-1"/>
        </w:rPr>
        <w:t>on.</w:t>
      </w:r>
    </w:p>
    <w:p w14:paraId="2F7DAD5F">
      <w:pPr>
        <w:pStyle w:val="2"/>
        <w:spacing w:before="32" w:line="294" w:lineRule="auto"/>
        <w:ind w:left="547" w:right="897" w:firstLine="4"/>
      </w:pPr>
      <w:r>
        <w:rPr>
          <w:b/>
          <w:bCs/>
        </w:rPr>
        <w:t xml:space="preserve">Immunogen: </w:t>
      </w:r>
      <w:r>
        <w:t>Recombinant TP53(</w:t>
      </w:r>
      <w:r>
        <w:rPr>
          <w:spacing w:val="-1"/>
        </w:rPr>
        <w:t>R282W)</w:t>
      </w:r>
      <w:r>
        <w:t xml:space="preserve"> protein, human origin.</w:t>
      </w:r>
    </w:p>
    <w:p w14:paraId="3D3B5009">
      <w:pPr>
        <w:pStyle w:val="2"/>
        <w:spacing w:before="32" w:line="310" w:lineRule="auto"/>
        <w:ind w:left="551" w:right="1185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6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08AD450E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209B076">
      <w:pPr>
        <w:pStyle w:val="2"/>
        <w:spacing w:before="77" w:line="233" w:lineRule="auto"/>
        <w:ind w:left="550"/>
      </w:pPr>
      <w:r>
        <w:rPr>
          <w:spacing w:val="-2"/>
        </w:rPr>
        <w:t>WB:</w:t>
      </w:r>
      <w:r>
        <w:rPr>
          <w:spacing w:val="3"/>
        </w:rPr>
        <w:t xml:space="preserve">          </w:t>
      </w:r>
      <w:r>
        <w:rPr>
          <w:spacing w:val="-2"/>
        </w:rPr>
        <w:t>1:1000-1:5000</w:t>
      </w:r>
    </w:p>
    <w:p w14:paraId="18455D31">
      <w:pPr>
        <w:pStyle w:val="2"/>
        <w:spacing w:before="78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3FF1D1F6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3DF1F1EA">
      <w:pPr>
        <w:pStyle w:val="2"/>
        <w:spacing w:before="126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06310F3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01CC3F0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5403F078">
      <w:pPr>
        <w:pStyle w:val="2"/>
        <w:spacing w:before="120" w:line="298" w:lineRule="auto"/>
        <w:ind w:left="558" w:right="316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037B6714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26CE6EC1">
      <w:pPr>
        <w:pStyle w:val="2"/>
        <w:spacing w:before="26" w:line="307" w:lineRule="auto"/>
        <w:ind w:left="555" w:right="508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3E502F17">
      <w:pPr>
        <w:pStyle w:val="2"/>
        <w:spacing w:before="43" w:line="294" w:lineRule="auto"/>
        <w:ind w:left="555" w:right="1091" w:firstLine="3"/>
      </w:pPr>
      <w:r>
        <w:rPr>
          <w:b/>
          <w:bCs/>
        </w:rPr>
        <w:t xml:space="preserve">Species Reactivity: </w:t>
      </w:r>
      <w:r>
        <w:t>Anti-TP</w:t>
      </w:r>
      <w:r>
        <w:rPr>
          <w:spacing w:val="-1"/>
        </w:rPr>
        <w:t>53(R282W)</w:t>
      </w:r>
      <w:r>
        <w:t xml:space="preserve"> antibody</w:t>
      </w:r>
      <w:r>
        <w:rPr>
          <w:spacing w:val="1"/>
        </w:rPr>
        <w:t xml:space="preserve"> </w:t>
      </w:r>
      <w:r>
        <w:t>recognizes</w:t>
      </w:r>
      <w:r>
        <w:rPr>
          <w:spacing w:val="1"/>
        </w:rPr>
        <w:t xml:space="preserve"> </w:t>
      </w:r>
      <w:r>
        <w:t>TP</w:t>
      </w:r>
      <w:r>
        <w:rPr>
          <w:spacing w:val="1"/>
        </w:rPr>
        <w:t xml:space="preserve">53(R282W) </w:t>
      </w:r>
      <w:r>
        <w:t>of</w:t>
      </w:r>
    </w:p>
    <w:p w14:paraId="725C1965">
      <w:pPr>
        <w:pStyle w:val="2"/>
        <w:spacing w:before="32" w:line="233" w:lineRule="auto"/>
        <w:ind w:left="549"/>
      </w:pPr>
      <w:r>
        <w:rPr>
          <w:spacing w:val="-1"/>
        </w:rPr>
        <w:t>vertebrates.</w:t>
      </w:r>
    </w:p>
    <w:p w14:paraId="1065BB33">
      <w:pPr>
        <w:pStyle w:val="2"/>
        <w:spacing w:before="76" w:line="251" w:lineRule="auto"/>
        <w:ind w:left="556" w:right="881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</w:p>
    <w:p w14:paraId="7243040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147935">
      <w:pPr>
        <w:pStyle w:val="2"/>
        <w:spacing w:before="67" w:line="229" w:lineRule="auto"/>
      </w:pPr>
      <w:r>
        <w:rPr>
          <w:b/>
          <w:bCs/>
          <w:spacing w:val="-1"/>
        </w:rPr>
        <w:t>Western blot:</w:t>
      </w:r>
    </w:p>
    <w:p w14:paraId="1D3B9748">
      <w:pPr>
        <w:spacing w:before="82" w:line="2624" w:lineRule="exact"/>
        <w:ind w:firstLine="102"/>
      </w:pPr>
      <w:r>
        <w:rPr>
          <w:position w:val="-52"/>
        </w:rPr>
        <w:drawing>
          <wp:inline distT="0" distB="0" distL="0" distR="0">
            <wp:extent cx="1354455" cy="16662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5089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C96D7">
      <w:pPr>
        <w:pStyle w:val="2"/>
        <w:spacing w:before="178" w:line="191" w:lineRule="auto"/>
      </w:pPr>
      <w:r>
        <w:t>Western blot analysis of</w:t>
      </w:r>
      <w:r>
        <w:rPr>
          <w:spacing w:val="-20"/>
        </w:rPr>
        <w:t xml:space="preserve"> </w:t>
      </w:r>
      <w:r>
        <w:t>recombinant</w:t>
      </w:r>
    </w:p>
    <w:p w14:paraId="646AF394">
      <w:pPr>
        <w:pStyle w:val="2"/>
        <w:spacing w:before="120" w:line="294" w:lineRule="auto"/>
        <w:ind w:left="1" w:right="982" w:firstLine="2"/>
      </w:pPr>
      <w:r>
        <w:t>TP53(R282W) and wildtype proteins. Pu</w:t>
      </w:r>
      <w:r>
        <w:rPr>
          <w:spacing w:val="-1"/>
        </w:rPr>
        <w:t>rified</w:t>
      </w:r>
      <w:r>
        <w:t xml:space="preserve"> His-tagged TP53(R282W) protein(la</w:t>
      </w:r>
      <w:r>
        <w:rPr>
          <w:spacing w:val="-1"/>
        </w:rPr>
        <w:t>ne 2,</w:t>
      </w:r>
    </w:p>
    <w:p w14:paraId="5819D0B2">
      <w:pPr>
        <w:pStyle w:val="2"/>
        <w:spacing w:before="32" w:line="191" w:lineRule="auto"/>
        <w:ind w:left="5"/>
      </w:pPr>
      <w:r>
        <w:rPr>
          <w:spacing w:val="-1"/>
        </w:rPr>
        <w:t>Cat.#10204) and wild type protein(lane</w:t>
      </w:r>
      <w:r>
        <w:rPr>
          <w:spacing w:val="42"/>
        </w:rPr>
        <w:t xml:space="preserve"> </w:t>
      </w:r>
      <w:r>
        <w:rPr>
          <w:spacing w:val="-1"/>
        </w:rPr>
        <w:t>1,</w:t>
      </w:r>
    </w:p>
    <w:p w14:paraId="558F43C5">
      <w:pPr>
        <w:pStyle w:val="2"/>
        <w:spacing w:before="121" w:line="191" w:lineRule="auto"/>
        <w:ind w:left="5"/>
      </w:pPr>
      <w:r>
        <w:t>Cat.#10202) were blotted with ant</w:t>
      </w:r>
      <w:r>
        <w:rPr>
          <w:spacing w:val="-1"/>
        </w:rPr>
        <w:t>i-TP53</w:t>
      </w:r>
    </w:p>
    <w:p w14:paraId="40403F6C">
      <w:pPr>
        <w:pStyle w:val="2"/>
        <w:spacing w:before="120" w:line="294" w:lineRule="auto"/>
        <w:ind w:left="2" w:right="1088" w:firstLine="4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4" w:space="100"/>
            <w:col w:w="4885"/>
          </w:cols>
        </w:sectPr>
      </w:pPr>
      <w:r>
        <w:t>(R282W) mouse monoclonal antibo</w:t>
      </w:r>
      <w:r>
        <w:rPr>
          <w:spacing w:val="-1"/>
        </w:rPr>
        <w:t>dy(Cat. #</w:t>
      </w:r>
      <w:r>
        <w:t xml:space="preserve"> </w:t>
      </w:r>
      <w:r>
        <w:rPr>
          <w:spacing w:val="1"/>
        </w:rPr>
        <w:t>26076).</w:t>
      </w:r>
    </w:p>
    <w:p w14:paraId="754DC552">
      <w:pPr>
        <w:spacing w:line="1305" w:lineRule="exact"/>
      </w:pPr>
    </w:p>
    <w:p w14:paraId="197DAAC2">
      <w:pPr>
        <w:spacing w:before="190" w:line="60" w:lineRule="exact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63DCCF6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0E6A89E7">
      <w:pPr>
        <w:spacing w:before="205" w:line="4309" w:lineRule="exact"/>
        <w:ind w:firstLine="616"/>
      </w:pPr>
      <w:r>
        <w:rPr>
          <w:position w:val="-86"/>
        </w:rPr>
        <w:drawing>
          <wp:inline distT="0" distB="0" distL="0" distR="0">
            <wp:extent cx="2494915" cy="27362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5041" cy="273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5104A">
      <w:pPr>
        <w:pStyle w:val="2"/>
        <w:spacing w:before="246" w:line="295" w:lineRule="auto"/>
        <w:ind w:left="544" w:right="5446"/>
      </w:pPr>
      <w:r>
        <w:rPr>
          <w:b/>
          <w:bCs/>
        </w:rPr>
        <w:t>Immunofluorescence of cells ex</w:t>
      </w:r>
      <w:r>
        <w:rPr>
          <w:b/>
          <w:bCs/>
          <w:spacing w:val="-1"/>
        </w:rPr>
        <w:t>pressing TP53</w:t>
      </w:r>
      <w:r>
        <w:rPr>
          <w:b/>
          <w:bCs/>
        </w:rPr>
        <w:t xml:space="preserve"> proteins with anti-TP53 (R282W) ant</w:t>
      </w:r>
      <w:r>
        <w:rPr>
          <w:b/>
          <w:bCs/>
          <w:spacing w:val="-1"/>
        </w:rPr>
        <w:t>ibody.</w:t>
      </w:r>
    </w:p>
    <w:p w14:paraId="02CFD057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272E1703">
      <w:pPr>
        <w:pStyle w:val="2"/>
        <w:spacing w:before="79" w:line="302" w:lineRule="auto"/>
        <w:ind w:left="547" w:right="5334" w:hanging="7"/>
      </w:pPr>
      <w:r>
        <w:t>pCDNA3-GFP-TP53 (WT) plasmid (left colum</w:t>
      </w:r>
      <w:r>
        <w:rPr>
          <w:spacing w:val="-1"/>
        </w:rPr>
        <w:t>n)</w:t>
      </w:r>
      <w:r>
        <w:t xml:space="preserve"> or pCDNA3-GFP-TP53 (R282W) plasmid</w:t>
      </w:r>
      <w:r>
        <w:rPr>
          <w:spacing w:val="-1"/>
        </w:rPr>
        <w:t xml:space="preserve"> (right</w:t>
      </w:r>
      <w:r>
        <w:t xml:space="preserve">  column), then fixed and stai</w:t>
      </w:r>
      <w:r>
        <w:rPr>
          <w:spacing w:val="-1"/>
        </w:rPr>
        <w:t>ned with</w:t>
      </w:r>
      <w:r>
        <w:rPr>
          <w:spacing w:val="8"/>
        </w:rPr>
        <w:t xml:space="preserve"> </w:t>
      </w:r>
      <w:r>
        <w:rPr>
          <w:spacing w:val="-1"/>
        </w:rPr>
        <w:t>anti- TP53</w:t>
      </w:r>
      <w:r>
        <w:t xml:space="preserve">    (R282W) monoclonal antibody (Cat. # 26076).</w:t>
      </w:r>
    </w:p>
    <w:p w14:paraId="396447A7">
      <w:pPr>
        <w:spacing w:line="251" w:lineRule="auto"/>
        <w:rPr>
          <w:rFonts w:ascii="Arial"/>
          <w:sz w:val="21"/>
        </w:rPr>
      </w:pPr>
    </w:p>
    <w:p w14:paraId="430BB455">
      <w:pPr>
        <w:spacing w:line="251" w:lineRule="auto"/>
        <w:rPr>
          <w:rFonts w:ascii="Arial"/>
          <w:sz w:val="21"/>
        </w:rPr>
      </w:pPr>
    </w:p>
    <w:p w14:paraId="33046079">
      <w:pPr>
        <w:spacing w:line="251" w:lineRule="auto"/>
        <w:rPr>
          <w:rFonts w:ascii="Arial"/>
          <w:sz w:val="21"/>
        </w:rPr>
      </w:pPr>
    </w:p>
    <w:p w14:paraId="52F96C94">
      <w:pPr>
        <w:spacing w:line="251" w:lineRule="auto"/>
        <w:rPr>
          <w:rFonts w:ascii="Arial"/>
          <w:sz w:val="21"/>
        </w:rPr>
      </w:pPr>
    </w:p>
    <w:p w14:paraId="487E4917">
      <w:pPr>
        <w:spacing w:line="251" w:lineRule="auto"/>
        <w:rPr>
          <w:rFonts w:ascii="Arial"/>
          <w:sz w:val="21"/>
        </w:rPr>
      </w:pPr>
    </w:p>
    <w:p w14:paraId="4AAB13A2">
      <w:pPr>
        <w:spacing w:line="251" w:lineRule="auto"/>
        <w:rPr>
          <w:rFonts w:ascii="Arial"/>
          <w:sz w:val="21"/>
        </w:rPr>
      </w:pPr>
    </w:p>
    <w:p w14:paraId="5324DFD3">
      <w:pPr>
        <w:spacing w:line="251" w:lineRule="auto"/>
        <w:rPr>
          <w:rFonts w:ascii="Arial"/>
          <w:sz w:val="21"/>
        </w:rPr>
      </w:pPr>
    </w:p>
    <w:p w14:paraId="7921454D">
      <w:pPr>
        <w:spacing w:line="251" w:lineRule="auto"/>
        <w:rPr>
          <w:rFonts w:ascii="Arial"/>
          <w:sz w:val="21"/>
        </w:rPr>
      </w:pPr>
    </w:p>
    <w:p w14:paraId="00C3CE38">
      <w:pPr>
        <w:spacing w:line="251" w:lineRule="auto"/>
        <w:rPr>
          <w:rFonts w:ascii="Arial"/>
          <w:sz w:val="21"/>
        </w:rPr>
      </w:pPr>
    </w:p>
    <w:p w14:paraId="6AEA8E16">
      <w:pPr>
        <w:spacing w:line="251" w:lineRule="auto"/>
        <w:rPr>
          <w:rFonts w:ascii="Arial"/>
          <w:sz w:val="21"/>
        </w:rPr>
      </w:pPr>
    </w:p>
    <w:p w14:paraId="3CAA3487">
      <w:pPr>
        <w:spacing w:line="251" w:lineRule="auto"/>
        <w:rPr>
          <w:rFonts w:ascii="Arial"/>
          <w:sz w:val="21"/>
        </w:rPr>
      </w:pPr>
    </w:p>
    <w:p w14:paraId="11A6F9D5">
      <w:pPr>
        <w:spacing w:line="252" w:lineRule="auto"/>
        <w:rPr>
          <w:rFonts w:ascii="Arial"/>
          <w:sz w:val="21"/>
        </w:rPr>
      </w:pPr>
    </w:p>
    <w:p w14:paraId="60383DE5">
      <w:pPr>
        <w:spacing w:line="252" w:lineRule="auto"/>
        <w:rPr>
          <w:rFonts w:ascii="Arial"/>
          <w:sz w:val="21"/>
        </w:rPr>
      </w:pPr>
    </w:p>
    <w:p w14:paraId="113E4828">
      <w:pPr>
        <w:spacing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6D181BD">
      <w:pPr>
        <w:spacing w:before="194" w:line="196" w:lineRule="auto"/>
        <w:ind w:left="2060"/>
        <w:rPr>
          <w:rFonts w:ascii="Arial" w:hAnsi="Arial" w:eastAsia="Arial" w:cs="Arial"/>
          <w:b/>
          <w:bCs/>
          <w:spacing w:val="-1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2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</w:t>
      </w:r>
      <w:r>
        <w:rPr>
          <w:rFonts w:ascii="Arial" w:hAnsi="Arial" w:eastAsia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7724AA18">
      <w:pPr>
        <w:spacing w:before="194" w:line="196" w:lineRule="auto"/>
        <w:ind w:left="2060"/>
        <w:rPr>
          <w:rFonts w:ascii="Arial" w:hAnsi="Arial" w:eastAsia="Arial" w:cs="Arial"/>
          <w:b/>
          <w:bCs/>
          <w:spacing w:val="-1"/>
          <w:sz w:val="18"/>
          <w:szCs w:val="18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E1CCB5F">
      <w:pPr>
        <w:spacing w:before="194" w:line="196" w:lineRule="auto"/>
        <w:ind w:left="2060"/>
        <w:rPr>
          <w:rFonts w:ascii="Arial" w:hAnsi="Arial" w:eastAsia="Arial" w:cs="Arial"/>
          <w:b/>
          <w:bCs/>
          <w:spacing w:val="-1"/>
          <w:sz w:val="18"/>
          <w:szCs w:val="18"/>
        </w:rPr>
      </w:pPr>
      <w:bookmarkStart w:id="0" w:name="_GoBack"/>
      <w:bookmarkEnd w:id="0"/>
    </w:p>
    <w:sectPr>
      <w:headerReference r:id="rId7" w:type="default"/>
      <w:footerReference r:id="rId8" w:type="default"/>
      <w:pgSz w:w="11907" w:h="16839"/>
      <w:pgMar w:top="400" w:right="596" w:bottom="1645" w:left="1260" w:header="0" w:footer="12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5C227">
    <w:pPr>
      <w:spacing w:after="191" w:line="60" w:lineRule="exact"/>
      <w:ind w:firstLine="7"/>
    </w:pPr>
    <w:r>
      <w:rPr>
        <w:position w:val="-1"/>
      </w:rPr>
      <w:pict>
        <v:shape id="_x0000_s2050" o:spid="_x0000_s2050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375A1CE0">
    <w:pPr>
      <w:spacing w:after="51" w:line="196" w:lineRule="auto"/>
      <w:ind w:left="20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0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  <w:p w14:paraId="32060B47">
    <w:pPr>
      <w:spacing w:line="413" w:lineRule="auto"/>
      <w:rPr>
        <w:rFonts w:ascii="Arial"/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EFB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668AB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67435" cy="993775"/>
          <wp:effectExtent l="0" t="0" r="18415" b="1587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7435" cy="993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870B53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7DD3C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173D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220</Words>
  <Characters>1465</Characters>
  <TotalTime>1</TotalTime>
  <ScaleCrop>false</ScaleCrop>
  <LinksUpToDate>false</LinksUpToDate>
  <CharactersWithSpaces>1676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2012-09-20T15:55:00Z</dcterms:created>
  <dc:creator>yanhua</dc:creator>
  <cp:lastModifiedBy>周亿福</cp:lastModifiedBy>
  <dcterms:modified xsi:type="dcterms:W3CDTF">2025-08-14T04:25:35Z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9FF97174784D4630AE8C90386302CB39_12</vt:lpwstr>
  </property>
</Properties>
</file>