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FA88E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23595" cy="766445"/>
            <wp:effectExtent l="0" t="0" r="14605" b="146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6200">
      <w:pPr>
        <w:spacing w:before="176" w:line="56" w:lineRule="exact"/>
        <w:ind w:firstLine="6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073754F7">
      <w:pPr>
        <w:pStyle w:val="2"/>
        <w:spacing w:before="264" w:line="191" w:lineRule="auto"/>
        <w:ind w:left="518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RhoA</w:t>
      </w:r>
    </w:p>
    <w:p w14:paraId="5A556734">
      <w:pPr>
        <w:pStyle w:val="2"/>
        <w:spacing w:before="221" w:line="199" w:lineRule="auto"/>
        <w:ind w:left="52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>: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 xml:space="preserve"> 26904</w:t>
      </w:r>
    </w:p>
    <w:p w14:paraId="4E952072">
      <w:pPr>
        <w:pStyle w:val="2"/>
        <w:spacing w:before="114" w:line="196" w:lineRule="auto"/>
        <w:ind w:left="522"/>
      </w:pPr>
      <w:r>
        <w:rPr>
          <w:b/>
          <w:bCs/>
          <w:spacing w:val="3"/>
        </w:rPr>
        <w:t>Gene Symbol: RHOA</w:t>
      </w:r>
      <w:bookmarkStart w:id="0" w:name="_GoBack"/>
      <w:bookmarkEnd w:id="0"/>
    </w:p>
    <w:p w14:paraId="7B3517A2">
      <w:pPr>
        <w:pStyle w:val="2"/>
        <w:spacing w:before="112" w:line="199" w:lineRule="auto"/>
        <w:ind w:left="518"/>
      </w:pPr>
      <w:r>
        <w:pict>
          <v:shape id="_x0000_s1027" o:spid="_x0000_s1027" style="position:absolute;left:0pt;margin-left:0.3pt;margin-top:23.5pt;height:0.7pt;width:449.1pt;z-index:251659264;mso-width-relative:page;mso-height-relative:page;" filled="f" stroked="t" coordsize="8982,13" path="m6,6l8975,6e">
            <v:fill on="f" focussize="0,0"/>
            <v:stroke weight="0.68pt" color="#000000" miterlimit="10" endcap="round"/>
            <v:imagedata o:title=""/>
            <o:lock v:ext="edit"/>
          </v:shape>
        </w:pict>
      </w: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RhoA Mouse Monoclonal Antibody</w:t>
      </w:r>
    </w:p>
    <w:p w14:paraId="6989B780">
      <w:pPr>
        <w:spacing w:before="129"/>
      </w:pPr>
    </w:p>
    <w:p w14:paraId="72BDD043">
      <w:pPr>
        <w:sectPr>
          <w:pgSz w:w="12240" w:h="15840"/>
          <w:pgMar w:top="801" w:right="1092" w:bottom="0" w:left="1694" w:header="0" w:footer="0" w:gutter="0"/>
          <w:cols w:equalWidth="0" w:num="1">
            <w:col w:w="9453"/>
          </w:cols>
        </w:sectPr>
      </w:pPr>
    </w:p>
    <w:p w14:paraId="45E343ED">
      <w:pPr>
        <w:pStyle w:val="2"/>
        <w:spacing w:before="36" w:line="311" w:lineRule="auto"/>
        <w:ind w:left="518" w:right="310"/>
      </w:pPr>
      <w:r>
        <w:rPr>
          <w:b/>
          <w:bCs/>
        </w:rPr>
        <w:t>Background</w:t>
      </w:r>
      <w:r>
        <w:rPr>
          <w:b/>
          <w:bCs/>
          <w:spacing w:val="10"/>
        </w:rPr>
        <w:t xml:space="preserve">: </w:t>
      </w:r>
      <w:r>
        <w:t>Small</w:t>
      </w:r>
      <w:r>
        <w:rPr>
          <w:spacing w:val="10"/>
        </w:rPr>
        <w:t xml:space="preserve"> </w:t>
      </w:r>
      <w:r>
        <w:t>GTPases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super</w:t>
      </w:r>
      <w:r>
        <w:rPr>
          <w:spacing w:val="10"/>
        </w:rPr>
        <w:t>-</w:t>
      </w:r>
      <w:r>
        <w:t>family</w:t>
      </w:r>
      <w:r>
        <w:rPr>
          <w:spacing w:val="1"/>
        </w:rPr>
        <w:t xml:space="preserve">    </w:t>
      </w:r>
      <w:r>
        <w:t>of</w:t>
      </w:r>
      <w:r>
        <w:rPr>
          <w:spacing w:val="-9"/>
        </w:rPr>
        <w:t xml:space="preserve"> </w:t>
      </w:r>
      <w:r>
        <w:t>cellular</w:t>
      </w:r>
      <w:r>
        <w:rPr>
          <w:spacing w:val="12"/>
        </w:rPr>
        <w:t xml:space="preserve"> </w:t>
      </w:r>
      <w:r>
        <w:t>signaling</w:t>
      </w:r>
      <w:r>
        <w:rPr>
          <w:spacing w:val="12"/>
        </w:rPr>
        <w:t xml:space="preserve"> </w:t>
      </w:r>
      <w:r>
        <w:t>regulators</w:t>
      </w:r>
      <w:r>
        <w:rPr>
          <w:spacing w:val="12"/>
        </w:rPr>
        <w:t xml:space="preserve">.    </w:t>
      </w:r>
      <w:r>
        <w:t>RhoA</w:t>
      </w:r>
      <w:r>
        <w:rPr>
          <w:spacing w:val="-12"/>
        </w:rPr>
        <w:t xml:space="preserve"> </w:t>
      </w:r>
      <w:r>
        <w:t>belongs</w:t>
      </w:r>
      <w:r>
        <w:rPr>
          <w:spacing w:val="12"/>
        </w:rPr>
        <w:t xml:space="preserve"> </w:t>
      </w:r>
      <w:r>
        <w:t>to the</w:t>
      </w:r>
      <w:r>
        <w:rPr>
          <w:spacing w:val="12"/>
        </w:rPr>
        <w:t xml:space="preserve"> </w:t>
      </w:r>
      <w:r>
        <w:t>Rho</w:t>
      </w:r>
      <w:r>
        <w:rPr>
          <w:spacing w:val="18"/>
          <w:w w:val="101"/>
        </w:rPr>
        <w:t xml:space="preserve"> </w:t>
      </w:r>
      <w:r>
        <w:t>sub</w:t>
      </w:r>
      <w:r>
        <w:rPr>
          <w:spacing w:val="12"/>
        </w:rPr>
        <w:t>-</w:t>
      </w:r>
      <w:r>
        <w:t>family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GTPases</w:t>
      </w:r>
      <w:r>
        <w:rPr>
          <w:spacing w:val="12"/>
        </w:rPr>
        <w:t xml:space="preserve">.    </w:t>
      </w:r>
      <w:r>
        <w:t>Rho</w:t>
      </w:r>
      <w:r>
        <w:rPr>
          <w:spacing w:val="12"/>
        </w:rPr>
        <w:t xml:space="preserve"> </w:t>
      </w:r>
      <w:r>
        <w:t>proteins</w:t>
      </w:r>
    </w:p>
    <w:p w14:paraId="41022A34">
      <w:pPr>
        <w:pStyle w:val="2"/>
        <w:spacing w:before="30" w:line="198" w:lineRule="auto"/>
        <w:ind w:left="516"/>
      </w:pPr>
      <w:r>
        <w:rPr>
          <w:spacing w:val="3"/>
        </w:rPr>
        <w:t>play critical roles in many actin cytoskel</w:t>
      </w:r>
      <w:r>
        <w:rPr>
          <w:spacing w:val="2"/>
        </w:rPr>
        <w:t>eton-</w:t>
      </w:r>
    </w:p>
    <w:p w14:paraId="2C66154F">
      <w:pPr>
        <w:pStyle w:val="2"/>
        <w:spacing w:before="112" w:line="198" w:lineRule="auto"/>
        <w:ind w:left="520"/>
      </w:pPr>
      <w:r>
        <w:rPr>
          <w:spacing w:val="3"/>
        </w:rPr>
        <w:t>dependent processes including plate</w:t>
      </w:r>
      <w:r>
        <w:rPr>
          <w:spacing w:val="2"/>
        </w:rPr>
        <w:t>let</w:t>
      </w:r>
    </w:p>
    <w:p w14:paraId="3C7171DE">
      <w:pPr>
        <w:pStyle w:val="2"/>
        <w:spacing w:before="115" w:line="198" w:lineRule="auto"/>
        <w:ind w:left="522"/>
      </w:pPr>
      <w:r>
        <w:rPr>
          <w:spacing w:val="2"/>
        </w:rPr>
        <w:t>aggregation, cell motility, contraction, and</w:t>
      </w:r>
    </w:p>
    <w:p w14:paraId="221C55B2">
      <w:pPr>
        <w:pStyle w:val="2"/>
        <w:spacing w:before="113" w:line="285" w:lineRule="auto"/>
        <w:ind w:left="519" w:right="354"/>
      </w:pPr>
      <w:r>
        <w:t>cytokinesis</w:t>
      </w:r>
      <w:r>
        <w:rPr>
          <w:spacing w:val="14"/>
        </w:rPr>
        <w:t xml:space="preserve">.    </w:t>
      </w:r>
      <w:r>
        <w:t>It</w:t>
      </w:r>
      <w:r>
        <w:rPr>
          <w:spacing w:val="14"/>
        </w:rPr>
        <w:t xml:space="preserve"> </w:t>
      </w:r>
      <w:r>
        <w:t>regulates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formation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 xml:space="preserve">stress  </w:t>
      </w:r>
      <w:r>
        <w:rPr>
          <w:spacing w:val="3"/>
        </w:rPr>
        <w:t>fibers and focal adhesions</w:t>
      </w:r>
      <w:r>
        <w:rPr>
          <w:spacing w:val="2"/>
        </w:rPr>
        <w:t xml:space="preserve"> in fibroblasts</w:t>
      </w:r>
      <w:r>
        <w:rPr>
          <w:spacing w:val="10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2"/>
        </w:rPr>
        <w:t>Ca</w:t>
      </w:r>
      <w:r>
        <w:rPr>
          <w:spacing w:val="2"/>
          <w:position w:val="9"/>
          <w:sz w:val="13"/>
          <w:szCs w:val="13"/>
        </w:rPr>
        <w:t>2+</w:t>
      </w:r>
      <w:r>
        <w:rPr>
          <w:position w:val="9"/>
          <w:sz w:val="13"/>
          <w:szCs w:val="13"/>
        </w:rPr>
        <w:t xml:space="preserve"> </w:t>
      </w:r>
      <w:r>
        <w:rPr>
          <w:spacing w:val="3"/>
        </w:rPr>
        <w:t>sensitivity of smooth muscle contract</w:t>
      </w:r>
      <w:r>
        <w:rPr>
          <w:spacing w:val="2"/>
        </w:rPr>
        <w:t>ion.</w:t>
      </w:r>
    </w:p>
    <w:p w14:paraId="53FB76B2">
      <w:pPr>
        <w:pStyle w:val="2"/>
        <w:spacing w:before="65" w:line="323" w:lineRule="auto"/>
        <w:ind w:left="522" w:right="351" w:hanging="3"/>
      </w:pPr>
      <w:r>
        <w:rPr>
          <w:b/>
          <w:bCs/>
          <w:spacing w:val="3"/>
        </w:rPr>
        <w:t xml:space="preserve">Immunogen: </w:t>
      </w:r>
      <w:r>
        <w:rPr>
          <w:spacing w:val="3"/>
        </w:rPr>
        <w:t>Recombinant full length protein of</w:t>
      </w:r>
      <w:r>
        <w:rPr>
          <w:spacing w:val="18"/>
          <w:w w:val="101"/>
        </w:rPr>
        <w:t xml:space="preserve"> </w:t>
      </w:r>
      <w:r>
        <w:rPr>
          <w:spacing w:val="2"/>
        </w:rPr>
        <w:t>active RhoA</w:t>
      </w:r>
    </w:p>
    <w:p w14:paraId="367B9500">
      <w:pPr>
        <w:pStyle w:val="2"/>
        <w:spacing w:before="2" w:line="324" w:lineRule="auto"/>
        <w:ind w:left="520" w:right="192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>IHC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Recommended dilutions:</w:t>
      </w:r>
    </w:p>
    <w:p w14:paraId="006BE93D">
      <w:pPr>
        <w:pStyle w:val="2"/>
        <w:spacing w:before="1" w:line="297" w:lineRule="auto"/>
        <w:ind w:left="525" w:right="1214" w:firstLine="12"/>
      </w:pPr>
      <w:r>
        <w:rPr>
          <w:spacing w:val="6"/>
        </w:rPr>
        <w:t xml:space="preserve">1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28"/>
          <w:w w:val="101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 xml:space="preserve">proteins </w:t>
      </w: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3"/>
          <w:w w:val="101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>ml</w:t>
      </w:r>
    </w:p>
    <w:p w14:paraId="383C504F">
      <w:pPr>
        <w:pStyle w:val="2"/>
        <w:spacing w:before="40"/>
        <w:ind w:left="519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3702D5FD">
      <w:pPr>
        <w:pStyle w:val="2"/>
        <w:spacing w:before="74" w:line="196" w:lineRule="auto"/>
        <w:ind w:left="525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</w:t>
      </w:r>
      <w:r>
        <w:rPr>
          <w:spacing w:val="2"/>
        </w:rPr>
        <w:t>al</w:t>
      </w:r>
    </w:p>
    <w:p w14:paraId="04692551">
      <w:pPr>
        <w:pStyle w:val="2"/>
        <w:spacing w:before="114" w:line="261" w:lineRule="exact"/>
        <w:ind w:left="519"/>
      </w:pPr>
      <w:r>
        <w:rPr>
          <w:b/>
          <w:bCs/>
          <w:position w:val="3"/>
        </w:rPr>
        <w:t>Isotype</w:t>
      </w:r>
      <w:r>
        <w:rPr>
          <w:b/>
          <w:bCs/>
          <w:spacing w:val="10"/>
          <w:position w:val="3"/>
        </w:rPr>
        <w:t xml:space="preserve">: </w:t>
      </w:r>
      <w:r>
        <w:rPr>
          <w:position w:val="3"/>
        </w:rPr>
        <w:t>IgG</w:t>
      </w:r>
      <w:r>
        <w:rPr>
          <w:spacing w:val="10"/>
          <w:position w:val="3"/>
        </w:rPr>
        <w:t xml:space="preserve">2b, </w:t>
      </w:r>
      <w:r>
        <w:rPr>
          <w:position w:val="3"/>
        </w:rPr>
        <w:t>IgM</w:t>
      </w:r>
    </w:p>
    <w:p w14:paraId="398799EA">
      <w:pPr>
        <w:pStyle w:val="2"/>
        <w:spacing w:before="111" w:line="199" w:lineRule="auto"/>
        <w:ind w:left="518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 as</w:t>
      </w:r>
      <w:r>
        <w:rPr>
          <w:spacing w:val="2"/>
        </w:rPr>
        <w:t>cites</w:t>
      </w:r>
    </w:p>
    <w:p w14:paraId="2B1B60BD">
      <w:pPr>
        <w:pStyle w:val="2"/>
        <w:spacing w:before="114" w:line="308" w:lineRule="auto"/>
        <w:ind w:left="521" w:right="2961" w:hanging="3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2"/>
        </w:rPr>
        <w:t>Storage buffer:</w:t>
      </w:r>
    </w:p>
    <w:p w14:paraId="6BE8FC3D">
      <w:pPr>
        <w:pStyle w:val="2"/>
        <w:spacing w:before="26"/>
        <w:ind w:left="518"/>
      </w:pPr>
      <w:r>
        <w:rPr>
          <w:spacing w:val="2"/>
        </w:rPr>
        <w:t>Preservative: no</w:t>
      </w:r>
    </w:p>
    <w:p w14:paraId="26C2540A">
      <w:pPr>
        <w:pStyle w:val="2"/>
        <w:spacing w:before="27" w:line="313" w:lineRule="auto"/>
        <w:ind w:left="519" w:right="467" w:firstLine="1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26"/>
          <w:w w:val="102"/>
          <w:position w:val="8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5"/>
        </w:rPr>
        <w:t>7.4,</w:t>
      </w:r>
      <w:r>
        <w:rPr>
          <w:spacing w:val="23"/>
        </w:rPr>
        <w:t xml:space="preserve"> </w:t>
      </w:r>
      <w:r>
        <w:rPr>
          <w:spacing w:val="5"/>
        </w:rPr>
        <w:t xml:space="preserve">150 </w:t>
      </w:r>
      <w:r>
        <w:t>mM</w:t>
      </w:r>
      <w:r>
        <w:rPr>
          <w:spacing w:val="5"/>
        </w:rPr>
        <w:t xml:space="preserve"> </w:t>
      </w:r>
      <w:r>
        <w:t>NaCl</w:t>
      </w:r>
      <w:r>
        <w:rPr>
          <w:spacing w:val="5"/>
        </w:rPr>
        <w:t xml:space="preserve">, 50% </w:t>
      </w:r>
      <w:r>
        <w:t>glycerol</w:t>
      </w:r>
    </w:p>
    <w:p w14:paraId="563DD29E">
      <w:pPr>
        <w:pStyle w:val="2"/>
        <w:spacing w:before="39" w:line="308" w:lineRule="auto"/>
        <w:ind w:left="516" w:right="465" w:firstLine="5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 xml:space="preserve">Anti-active RhoA </w:t>
      </w:r>
      <w:r>
        <w:rPr>
          <w:spacing w:val="2"/>
        </w:rPr>
        <w:t>antibody</w:t>
      </w:r>
      <w:r>
        <w:t xml:space="preserve"> </w:t>
      </w:r>
      <w:r>
        <w:rPr>
          <w:spacing w:val="3"/>
        </w:rPr>
        <w:t>recognizes active RhoA</w:t>
      </w:r>
      <w:r>
        <w:rPr>
          <w:spacing w:val="-7"/>
        </w:rPr>
        <w:t xml:space="preserve"> </w:t>
      </w:r>
      <w:r>
        <w:rPr>
          <w:spacing w:val="3"/>
        </w:rPr>
        <w:t>from vertebrates.</w:t>
      </w:r>
    </w:p>
    <w:p w14:paraId="34F455FA">
      <w:pPr>
        <w:pStyle w:val="2"/>
        <w:spacing w:before="26" w:line="306" w:lineRule="auto"/>
        <w:ind w:left="519" w:right="818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2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 freeze</w:t>
      </w:r>
      <w:r>
        <w:rPr>
          <w:spacing w:val="13"/>
        </w:rPr>
        <w:t xml:space="preserve"> / </w:t>
      </w:r>
      <w:r>
        <w:t>thaw</w:t>
      </w:r>
      <w:r>
        <w:rPr>
          <w:spacing w:val="13"/>
        </w:rPr>
        <w:t xml:space="preserve"> </w:t>
      </w:r>
      <w:r>
        <w:t>cycles</w:t>
      </w:r>
    </w:p>
    <w:p w14:paraId="71A54D34">
      <w:pPr>
        <w:spacing w:line="30" w:lineRule="exact"/>
      </w:pPr>
    </w:p>
    <w:p w14:paraId="1F141F7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4F47081">
      <w:pPr>
        <w:pStyle w:val="2"/>
        <w:spacing w:before="117" w:line="197" w:lineRule="auto"/>
        <w:ind w:left="6"/>
      </w:pPr>
      <w:r>
        <w:rPr>
          <w:b/>
          <w:bCs/>
          <w:spacing w:val="3"/>
        </w:rPr>
        <w:t xml:space="preserve">Immunoprecipitation and Western </w:t>
      </w:r>
      <w:r>
        <w:rPr>
          <w:b/>
          <w:bCs/>
          <w:spacing w:val="2"/>
        </w:rPr>
        <w:t>blot:</w:t>
      </w:r>
    </w:p>
    <w:p w14:paraId="53E67755">
      <w:pPr>
        <w:spacing w:line="254" w:lineRule="auto"/>
        <w:rPr>
          <w:rFonts w:ascii="Arial"/>
          <w:sz w:val="21"/>
        </w:rPr>
      </w:pPr>
    </w:p>
    <w:p w14:paraId="4CD2C3DC">
      <w:pPr>
        <w:spacing w:line="3204" w:lineRule="exact"/>
      </w:pPr>
      <w:r>
        <w:rPr>
          <w:position w:val="-64"/>
        </w:rPr>
        <w:drawing>
          <wp:inline distT="0" distB="0" distL="0" distR="0">
            <wp:extent cx="1313180" cy="20345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3688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19FBA">
      <w:pPr>
        <w:spacing w:line="407" w:lineRule="auto"/>
        <w:rPr>
          <w:rFonts w:ascii="Arial"/>
          <w:sz w:val="21"/>
        </w:rPr>
      </w:pPr>
    </w:p>
    <w:p w14:paraId="673F7099">
      <w:pPr>
        <w:pStyle w:val="2"/>
        <w:spacing w:before="54" w:line="308" w:lineRule="auto"/>
        <w:ind w:left="3" w:right="769" w:firstLine="2"/>
      </w:pPr>
      <w:r>
        <w:rPr>
          <w:spacing w:val="3"/>
        </w:rPr>
        <w:t>IP/WB analysis of active RhoA</w:t>
      </w:r>
      <w:r>
        <w:rPr>
          <w:spacing w:val="-8"/>
        </w:rPr>
        <w:t xml:space="preserve"> </w:t>
      </w:r>
      <w:r>
        <w:rPr>
          <w:spacing w:val="3"/>
        </w:rPr>
        <w:t>protein. Purified</w:t>
      </w:r>
      <w:r>
        <w:t xml:space="preserve"> </w:t>
      </w:r>
      <w:r>
        <w:rPr>
          <w:spacing w:val="3"/>
        </w:rPr>
        <w:t>recombinant RhoA</w:t>
      </w:r>
      <w:r>
        <w:rPr>
          <w:spacing w:val="-1"/>
        </w:rPr>
        <w:t xml:space="preserve"> </w:t>
      </w:r>
      <w:r>
        <w:rPr>
          <w:spacing w:val="3"/>
        </w:rPr>
        <w:t>proteins were loaded with</w:t>
      </w:r>
    </w:p>
    <w:p w14:paraId="62987B58">
      <w:pPr>
        <w:pStyle w:val="2"/>
        <w:spacing w:before="27" w:line="311" w:lineRule="auto"/>
        <w:ind w:left="5" w:right="763" w:firstLine="3"/>
      </w:pPr>
      <w:r>
        <w:t>GDP</w:t>
      </w:r>
      <w:r>
        <w:rPr>
          <w:spacing w:val="7"/>
        </w:rPr>
        <w:t xml:space="preserve"> (</w:t>
      </w:r>
      <w:r>
        <w:t>lane</w:t>
      </w:r>
      <w:r>
        <w:rPr>
          <w:spacing w:val="29"/>
          <w:w w:val="101"/>
        </w:rPr>
        <w:t xml:space="preserve"> </w:t>
      </w:r>
      <w:r>
        <w:rPr>
          <w:spacing w:val="7"/>
        </w:rPr>
        <w:t xml:space="preserve">1) </w:t>
      </w:r>
      <w:r>
        <w:t>or</w:t>
      </w:r>
      <w:r>
        <w:rPr>
          <w:spacing w:val="7"/>
        </w:rPr>
        <w:t xml:space="preserve"> </w:t>
      </w:r>
      <w:r>
        <w:t>GTPgS</w:t>
      </w:r>
      <w:r>
        <w:rPr>
          <w:spacing w:val="7"/>
        </w:rPr>
        <w:t xml:space="preserve"> (</w:t>
      </w:r>
      <w:r>
        <w:t>lane</w:t>
      </w:r>
      <w:r>
        <w:rPr>
          <w:spacing w:val="7"/>
        </w:rPr>
        <w:t xml:space="preserve"> 2). </w:t>
      </w:r>
      <w:r>
        <w:t>These</w:t>
      </w:r>
      <w:r>
        <w:rPr>
          <w:spacing w:val="7"/>
        </w:rPr>
        <w:t xml:space="preserve"> </w:t>
      </w:r>
      <w:r>
        <w:t xml:space="preserve">proteins  </w:t>
      </w:r>
      <w:r>
        <w:rPr>
          <w:spacing w:val="3"/>
        </w:rPr>
        <w:t>were immunoprecipitated with anti-active RhoA</w:t>
      </w:r>
      <w:r>
        <w:rPr>
          <w:spacing w:val="7"/>
        </w:rPr>
        <w:t xml:space="preserve"> </w:t>
      </w:r>
      <w:r>
        <w:t>mouse</w:t>
      </w:r>
      <w:r>
        <w:rPr>
          <w:spacing w:val="9"/>
        </w:rPr>
        <w:t xml:space="preserve"> </w:t>
      </w:r>
      <w:r>
        <w:t>monoclonal</w:t>
      </w:r>
      <w:r>
        <w:rPr>
          <w:spacing w:val="9"/>
        </w:rPr>
        <w:t xml:space="preserve"> </w:t>
      </w:r>
      <w:r>
        <w:t>antibody</w:t>
      </w:r>
      <w:r>
        <w:rPr>
          <w:spacing w:val="9"/>
        </w:rPr>
        <w:t xml:space="preserve"> (</w:t>
      </w:r>
      <w:r>
        <w:t>Cat</w:t>
      </w:r>
      <w:r>
        <w:rPr>
          <w:spacing w:val="9"/>
        </w:rPr>
        <w:t>. # 26904).</w:t>
      </w:r>
    </w:p>
    <w:p w14:paraId="6BCE30F1">
      <w:pPr>
        <w:pStyle w:val="2"/>
        <w:spacing w:before="30" w:line="312" w:lineRule="auto"/>
        <w:ind w:left="3" w:right="1201" w:firstLine="1"/>
      </w:pPr>
      <w:r>
        <w:rPr>
          <w:spacing w:val="3"/>
        </w:rPr>
        <w:t>After SDS/PAGE, the membran</w:t>
      </w:r>
      <w:r>
        <w:rPr>
          <w:spacing w:val="2"/>
        </w:rPr>
        <w:t>e filter was</w:t>
      </w:r>
      <w:r>
        <w:t xml:space="preserve"> </w:t>
      </w:r>
      <w:r>
        <w:rPr>
          <w:spacing w:val="3"/>
        </w:rPr>
        <w:t>probed with anti-RhoA mouse monoclonal</w:t>
      </w:r>
      <w:r>
        <w:rPr>
          <w:spacing w:val="2"/>
        </w:rPr>
        <w:t xml:space="preserve"> </w:t>
      </w:r>
      <w:r>
        <w:t>antibody</w:t>
      </w:r>
      <w:r>
        <w:rPr>
          <w:spacing w:val="6"/>
        </w:rPr>
        <w:t xml:space="preserve"> (</w:t>
      </w:r>
      <w:r>
        <w:t>Cat</w:t>
      </w:r>
      <w:r>
        <w:rPr>
          <w:spacing w:val="6"/>
        </w:rPr>
        <w:t>. # 26007).</w:t>
      </w:r>
    </w:p>
    <w:p w14:paraId="046F8B1A">
      <w:pPr>
        <w:spacing w:line="312" w:lineRule="auto"/>
        <w:sectPr>
          <w:type w:val="continuous"/>
          <w:pgSz w:w="12240" w:h="15840"/>
          <w:pgMar w:top="801" w:right="1092" w:bottom="0" w:left="1694" w:header="0" w:footer="0" w:gutter="0"/>
          <w:cols w:equalWidth="0" w:num="2">
            <w:col w:w="4758" w:space="100"/>
            <w:col w:w="4596"/>
          </w:cols>
        </w:sectPr>
      </w:pPr>
    </w:p>
    <w:p w14:paraId="4A6DA5CE">
      <w:pPr>
        <w:spacing w:line="249" w:lineRule="auto"/>
        <w:rPr>
          <w:rFonts w:ascii="Arial"/>
          <w:sz w:val="21"/>
        </w:rPr>
      </w:pPr>
    </w:p>
    <w:p w14:paraId="644963A5">
      <w:pPr>
        <w:spacing w:line="249" w:lineRule="auto"/>
        <w:rPr>
          <w:rFonts w:ascii="Arial"/>
          <w:sz w:val="21"/>
        </w:rPr>
      </w:pPr>
    </w:p>
    <w:p w14:paraId="17311D28">
      <w:pPr>
        <w:spacing w:line="249" w:lineRule="auto"/>
        <w:rPr>
          <w:rFonts w:ascii="Arial"/>
          <w:sz w:val="21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 use only.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diagnostic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or therapeutic applications.</w:t>
      </w:r>
    </w:p>
    <w:p w14:paraId="267AD628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00C5032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3A3CBEC3">
      <w:pPr>
        <w:spacing w:line="249" w:lineRule="auto"/>
        <w:rPr>
          <w:rFonts w:ascii="Arial"/>
          <w:sz w:val="21"/>
        </w:rPr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76CD2D13">
      <w:pPr>
        <w:spacing w:line="249" w:lineRule="auto"/>
        <w:rPr>
          <w:rFonts w:ascii="Arial"/>
          <w:sz w:val="21"/>
        </w:rPr>
      </w:pPr>
    </w:p>
    <w:p w14:paraId="4BF9A88C">
      <w:pPr>
        <w:pStyle w:val="2"/>
        <w:spacing w:before="25" w:line="217" w:lineRule="auto"/>
        <w:ind w:left="123" w:right="2036" w:hanging="123"/>
        <w:rPr>
          <w:sz w:val="15"/>
          <w:szCs w:val="15"/>
        </w:rPr>
      </w:pPr>
    </w:p>
    <w:sectPr>
      <w:type w:val="continuous"/>
      <w:pgSz w:w="12240" w:h="15840"/>
      <w:pgMar w:top="801" w:right="1092" w:bottom="0" w:left="1694" w:header="0" w:footer="0" w:gutter="0"/>
      <w:cols w:equalWidth="0" w:num="2">
        <w:col w:w="4676" w:space="100"/>
        <w:col w:w="467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350C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223</Words>
  <Characters>1400</Characters>
  <TotalTime>1</TotalTime>
  <ScaleCrop>false</ScaleCrop>
  <LinksUpToDate>false</LinksUpToDate>
  <CharactersWithSpaces>1611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2012-08-07T10:06:00Z</dcterms:created>
  <dc:creator>Don Wu</dc:creator>
  <cp:lastModifiedBy>周亿福</cp:lastModifiedBy>
  <dcterms:modified xsi:type="dcterms:W3CDTF">2025-08-12T06:59:02Z</dcterms:modified>
  <dc:title>Microsoft Word - RhoA-GTP.doc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2025-08-12T14:51:40Z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D2A2C2E3BE9C40578C149D0FF62A8842_12</vt:lpwstr>
  </property>
</Properties>
</file>