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D0ECCE">
      <w:pPr>
        <w:pStyle w:val="2"/>
        <w:spacing w:before="284" w:line="187" w:lineRule="auto"/>
        <w:ind w:left="550"/>
        <w:outlineLvl w:val="0"/>
        <w:rPr>
          <w:sz w:val="28"/>
          <w:szCs w:val="28"/>
        </w:rPr>
      </w:pPr>
      <w:r>
        <w:rPr>
          <w:b/>
          <w:bCs/>
          <w:spacing w:val="-1"/>
          <w:sz w:val="28"/>
          <w:szCs w:val="28"/>
        </w:rPr>
        <w:t>Active Rac1</w:t>
      </w:r>
    </w:p>
    <w:p w14:paraId="0E23B6CD">
      <w:pPr>
        <w:pStyle w:val="2"/>
        <w:spacing w:before="234" w:line="198" w:lineRule="auto"/>
        <w:ind w:left="556"/>
        <w:rPr>
          <w:b w:val="0"/>
          <w:bCs w:val="0"/>
        </w:rPr>
      </w:pPr>
      <w:r>
        <w:rPr>
          <w:b/>
          <w:bCs/>
        </w:rPr>
        <w:t>Catalog</w:t>
      </w:r>
      <w:r>
        <w:rPr>
          <w:b/>
          <w:bCs/>
          <w:spacing w:val="10"/>
        </w:rPr>
        <w:t xml:space="preserve"> </w:t>
      </w:r>
      <w:r>
        <w:rPr>
          <w:b/>
          <w:bCs/>
        </w:rPr>
        <w:t>Number</w:t>
      </w:r>
      <w:r>
        <w:rPr>
          <w:b/>
          <w:bCs/>
          <w:spacing w:val="10"/>
        </w:rPr>
        <w:t>:</w:t>
      </w:r>
      <w:r>
        <w:rPr>
          <w:b/>
          <w:bCs/>
          <w:spacing w:val="19"/>
        </w:rPr>
        <w:t xml:space="preserve"> </w:t>
      </w:r>
      <w:r>
        <w:rPr>
          <w:rFonts w:hint="eastAsia" w:eastAsia="宋体"/>
          <w:b w:val="0"/>
          <w:bCs w:val="0"/>
          <w:spacing w:val="19"/>
          <w:lang w:val="en-US" w:eastAsia="zh-CN"/>
        </w:rPr>
        <w:t>CR-M</w:t>
      </w:r>
      <w:r>
        <w:rPr>
          <w:b w:val="0"/>
          <w:bCs w:val="0"/>
          <w:spacing w:val="10"/>
        </w:rPr>
        <w:t>26903</w:t>
      </w:r>
    </w:p>
    <w:p w14:paraId="34297D0C">
      <w:pPr>
        <w:pStyle w:val="2"/>
        <w:spacing w:before="129" w:line="195" w:lineRule="auto"/>
        <w:ind w:left="557"/>
      </w:pPr>
      <w:r>
        <w:rPr>
          <w:b/>
          <w:bCs/>
        </w:rPr>
        <w:t>Gene</w:t>
      </w:r>
      <w:r>
        <w:rPr>
          <w:b/>
          <w:bCs/>
          <w:spacing w:val="17"/>
        </w:rPr>
        <w:t xml:space="preserve"> </w:t>
      </w:r>
      <w:r>
        <w:rPr>
          <w:b/>
          <w:bCs/>
        </w:rPr>
        <w:t>Symbol</w:t>
      </w:r>
      <w:r>
        <w:rPr>
          <w:b/>
          <w:bCs/>
          <w:spacing w:val="17"/>
        </w:rPr>
        <w:t xml:space="preserve">: </w:t>
      </w:r>
      <w:r>
        <w:rPr>
          <w:b/>
          <w:bCs/>
        </w:rPr>
        <w:t>RAC</w:t>
      </w:r>
      <w:r>
        <w:rPr>
          <w:b/>
          <w:bCs/>
          <w:spacing w:val="17"/>
        </w:rPr>
        <w:t>1</w:t>
      </w:r>
    </w:p>
    <w:p w14:paraId="3D062DEF">
      <w:pPr>
        <w:pStyle w:val="2"/>
        <w:spacing w:before="120" w:line="198" w:lineRule="auto"/>
        <w:ind w:left="551"/>
      </w:pPr>
      <w:r>
        <w:pict>
          <v:shape id="_x0000_s1026" o:spid="_x0000_s1026" style="position:absolute;left:0pt;margin-left:0.35pt;margin-top:24.95pt;height:0.75pt;width:477.75pt;z-index:251659264;mso-width-relative:page;mso-height-relative:page;" filled="f" stroked="t" coordsize="9555,15" path="m7,7l9547,7e">
            <v:fill on="f" focussize="0,0"/>
            <v:stroke color="#000000" miterlimit="10" endcap="round"/>
            <v:imagedata o:title=""/>
            <o:lock v:ext="edit"/>
          </v:shape>
        </w:pict>
      </w:r>
      <w:r>
        <w:rPr>
          <w:b/>
          <w:bCs/>
          <w:spacing w:val="4"/>
        </w:rPr>
        <w:t xml:space="preserve">Description: </w:t>
      </w:r>
      <w:r>
        <w:rPr>
          <w:spacing w:val="4"/>
        </w:rPr>
        <w:t>Anti-Active Rac Mouse Monoclonal Antibody</w:t>
      </w:r>
    </w:p>
    <w:p w14:paraId="590E13A8">
      <w:pPr>
        <w:spacing w:before="157"/>
      </w:pPr>
    </w:p>
    <w:p w14:paraId="6A068360">
      <w:pPr>
        <w:sectPr>
          <w:headerReference r:id="rId5" w:type="default"/>
          <w:footerReference r:id="rId6" w:type="default"/>
          <w:pgSz w:w="11909" w:h="16841"/>
          <w:pgMar w:top="2405" w:right="598" w:bottom="2074" w:left="1252" w:header="850" w:footer="999" w:gutter="0"/>
          <w:cols w:equalWidth="0" w:num="1">
            <w:col w:w="10058"/>
          </w:cols>
        </w:sectPr>
      </w:pPr>
    </w:p>
    <w:p w14:paraId="0295B685">
      <w:pPr>
        <w:pStyle w:val="2"/>
        <w:spacing w:before="36" w:line="318" w:lineRule="auto"/>
        <w:ind w:left="550" w:right="436" w:firstLine="2"/>
      </w:pPr>
      <w:r>
        <w:rPr>
          <w:b/>
          <w:bCs/>
          <w:spacing w:val="2"/>
        </w:rPr>
        <w:t>Background:</w:t>
      </w:r>
      <w:r>
        <w:rPr>
          <w:b/>
          <w:bCs/>
          <w:spacing w:val="22"/>
        </w:rPr>
        <w:t xml:space="preserve"> </w:t>
      </w:r>
      <w:r>
        <w:rPr>
          <w:spacing w:val="2"/>
        </w:rPr>
        <w:t>Small</w:t>
      </w:r>
      <w:r>
        <w:rPr>
          <w:spacing w:val="14"/>
        </w:rPr>
        <w:t xml:space="preserve"> </w:t>
      </w:r>
      <w:r>
        <w:rPr>
          <w:spacing w:val="2"/>
        </w:rPr>
        <w:t>GTPases are a super-family</w:t>
      </w:r>
      <w:r>
        <w:t xml:space="preserve">  </w:t>
      </w:r>
      <w:r>
        <w:rPr>
          <w:spacing w:val="3"/>
        </w:rPr>
        <w:t>of</w:t>
      </w:r>
      <w:r>
        <w:rPr>
          <w:spacing w:val="-18"/>
        </w:rPr>
        <w:t xml:space="preserve"> </w:t>
      </w:r>
      <w:r>
        <w:rPr>
          <w:spacing w:val="3"/>
        </w:rPr>
        <w:t>cellular signaling regulators.    Rac b</w:t>
      </w:r>
      <w:r>
        <w:rPr>
          <w:spacing w:val="2"/>
        </w:rPr>
        <w:t>elongs to</w:t>
      </w:r>
      <w:r>
        <w:t xml:space="preserve">  </w:t>
      </w:r>
      <w:r>
        <w:rPr>
          <w:spacing w:val="4"/>
        </w:rPr>
        <w:t>the Rho sub-family of</w:t>
      </w:r>
      <w:r>
        <w:rPr>
          <w:spacing w:val="-8"/>
        </w:rPr>
        <w:t xml:space="preserve"> </w:t>
      </w:r>
      <w:r>
        <w:rPr>
          <w:spacing w:val="4"/>
        </w:rPr>
        <w:t>GTPases that regulate cell</w:t>
      </w:r>
      <w:r>
        <w:t xml:space="preserve"> </w:t>
      </w:r>
      <w:r>
        <w:rPr>
          <w:spacing w:val="3"/>
        </w:rPr>
        <w:t>motility, cell division,</w:t>
      </w:r>
      <w:r>
        <w:rPr>
          <w:spacing w:val="13"/>
          <w:w w:val="101"/>
        </w:rPr>
        <w:t xml:space="preserve"> </w:t>
      </w:r>
      <w:r>
        <w:rPr>
          <w:spacing w:val="3"/>
        </w:rPr>
        <w:t>and gene</w:t>
      </w:r>
      <w:r>
        <w:rPr>
          <w:spacing w:val="10"/>
        </w:rPr>
        <w:t xml:space="preserve"> </w:t>
      </w:r>
      <w:r>
        <w:rPr>
          <w:spacing w:val="3"/>
        </w:rPr>
        <w:t>transc</w:t>
      </w:r>
      <w:r>
        <w:rPr>
          <w:spacing w:val="2"/>
        </w:rPr>
        <w:t>ription.</w:t>
      </w:r>
    </w:p>
    <w:p w14:paraId="0F658245">
      <w:pPr>
        <w:pStyle w:val="2"/>
        <w:spacing w:before="29" w:line="307" w:lineRule="auto"/>
        <w:ind w:left="549" w:right="412" w:firstLine="6"/>
      </w:pPr>
      <w:r>
        <w:rPr>
          <w:spacing w:val="2"/>
        </w:rPr>
        <w:t>GTP</w:t>
      </w:r>
      <w:r>
        <w:rPr>
          <w:spacing w:val="3"/>
        </w:rPr>
        <w:t xml:space="preserve"> </w:t>
      </w:r>
      <w:r>
        <w:rPr>
          <w:spacing w:val="2"/>
        </w:rPr>
        <w:t>binding increases the activity of</w:t>
      </w:r>
      <w:r>
        <w:rPr>
          <w:spacing w:val="-22"/>
        </w:rPr>
        <w:t xml:space="preserve"> </w:t>
      </w:r>
      <w:r>
        <w:rPr>
          <w:spacing w:val="2"/>
        </w:rPr>
        <w:t>Rac, and the</w:t>
      </w:r>
      <w:r>
        <w:t xml:space="preserve"> hydrolysis</w:t>
      </w:r>
      <w:r>
        <w:rPr>
          <w:spacing w:val="12"/>
        </w:rPr>
        <w:t xml:space="preserve"> </w:t>
      </w:r>
      <w:r>
        <w:t>of</w:t>
      </w:r>
      <w:r>
        <w:rPr>
          <w:spacing w:val="-12"/>
        </w:rPr>
        <w:t xml:space="preserve"> </w:t>
      </w:r>
      <w:r>
        <w:t>GTP</w:t>
      </w:r>
      <w:r>
        <w:rPr>
          <w:spacing w:val="12"/>
        </w:rPr>
        <w:t xml:space="preserve"> </w:t>
      </w:r>
      <w:r>
        <w:t>to</w:t>
      </w:r>
      <w:r>
        <w:rPr>
          <w:spacing w:val="12"/>
        </w:rPr>
        <w:t xml:space="preserve"> </w:t>
      </w:r>
      <w:r>
        <w:t>GDP</w:t>
      </w:r>
      <w:r>
        <w:rPr>
          <w:spacing w:val="12"/>
        </w:rPr>
        <w:t xml:space="preserve"> </w:t>
      </w:r>
      <w:r>
        <w:t>renders</w:t>
      </w:r>
      <w:r>
        <w:rPr>
          <w:spacing w:val="12"/>
        </w:rPr>
        <w:t xml:space="preserve"> </w:t>
      </w:r>
      <w:r>
        <w:t>it</w:t>
      </w:r>
      <w:r>
        <w:rPr>
          <w:spacing w:val="12"/>
        </w:rPr>
        <w:t xml:space="preserve"> </w:t>
      </w:r>
      <w:r>
        <w:t>inactive</w:t>
      </w:r>
      <w:r>
        <w:rPr>
          <w:spacing w:val="12"/>
        </w:rPr>
        <w:t>.</w:t>
      </w:r>
    </w:p>
    <w:p w14:paraId="5262AFB1">
      <w:pPr>
        <w:pStyle w:val="2"/>
        <w:spacing w:before="39" w:line="198" w:lineRule="auto"/>
        <w:ind w:left="555"/>
      </w:pPr>
      <w:r>
        <w:t>GTP</w:t>
      </w:r>
      <w:r>
        <w:rPr>
          <w:spacing w:val="13"/>
        </w:rPr>
        <w:t xml:space="preserve"> </w:t>
      </w:r>
      <w:r>
        <w:t>hydrolysis</w:t>
      </w:r>
      <w:r>
        <w:rPr>
          <w:spacing w:val="13"/>
        </w:rPr>
        <w:t xml:space="preserve"> </w:t>
      </w:r>
      <w:r>
        <w:t>is</w:t>
      </w:r>
      <w:r>
        <w:rPr>
          <w:spacing w:val="13"/>
        </w:rPr>
        <w:t xml:space="preserve"> </w:t>
      </w:r>
      <w:r>
        <w:t>aided</w:t>
      </w:r>
      <w:r>
        <w:rPr>
          <w:spacing w:val="13"/>
        </w:rPr>
        <w:t xml:space="preserve"> </w:t>
      </w:r>
      <w:r>
        <w:t>by</w:t>
      </w:r>
      <w:r>
        <w:rPr>
          <w:spacing w:val="13"/>
        </w:rPr>
        <w:t xml:space="preserve"> </w:t>
      </w:r>
      <w:r>
        <w:t>GTPase</w:t>
      </w:r>
      <w:r>
        <w:rPr>
          <w:spacing w:val="15"/>
          <w:w w:val="101"/>
        </w:rPr>
        <w:t xml:space="preserve"> </w:t>
      </w:r>
      <w:r>
        <w:t>activating</w:t>
      </w:r>
    </w:p>
    <w:p w14:paraId="5A2B01CA">
      <w:pPr>
        <w:pStyle w:val="2"/>
        <w:spacing w:before="119" w:line="307" w:lineRule="auto"/>
        <w:ind w:left="554" w:right="394" w:hanging="6"/>
      </w:pPr>
      <w:r>
        <w:t>proteins</w:t>
      </w:r>
      <w:r>
        <w:rPr>
          <w:spacing w:val="12"/>
        </w:rPr>
        <w:t xml:space="preserve"> (</w:t>
      </w:r>
      <w:r>
        <w:t>GAPs</w:t>
      </w:r>
      <w:r>
        <w:rPr>
          <w:spacing w:val="12"/>
        </w:rPr>
        <w:t xml:space="preserve">), </w:t>
      </w:r>
      <w:r>
        <w:t>while</w:t>
      </w:r>
      <w:r>
        <w:rPr>
          <w:spacing w:val="12"/>
        </w:rPr>
        <w:t xml:space="preserve"> </w:t>
      </w:r>
      <w:r>
        <w:t>exchange</w:t>
      </w:r>
      <w:r>
        <w:rPr>
          <w:spacing w:val="12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GDP</w:t>
      </w:r>
      <w:r>
        <w:rPr>
          <w:spacing w:val="12"/>
        </w:rPr>
        <w:t xml:space="preserve"> </w:t>
      </w:r>
      <w:r>
        <w:t>for</w:t>
      </w:r>
      <w:r>
        <w:rPr>
          <w:spacing w:val="12"/>
        </w:rPr>
        <w:t xml:space="preserve"> </w:t>
      </w:r>
      <w:r>
        <w:t xml:space="preserve">GTP </w:t>
      </w:r>
      <w:r>
        <w:rPr>
          <w:spacing w:val="2"/>
        </w:rPr>
        <w:t>is facilitated by guanine nucleotid</w:t>
      </w:r>
      <w:r>
        <w:rPr>
          <w:spacing w:val="1"/>
        </w:rPr>
        <w:t>e exchange</w:t>
      </w:r>
    </w:p>
    <w:p w14:paraId="1158BDC6">
      <w:pPr>
        <w:pStyle w:val="2"/>
        <w:spacing w:before="39" w:line="199" w:lineRule="auto"/>
        <w:ind w:left="556"/>
      </w:pPr>
      <w:r>
        <w:t>factors</w:t>
      </w:r>
      <w:r>
        <w:rPr>
          <w:spacing w:val="9"/>
        </w:rPr>
        <w:t xml:space="preserve"> (</w:t>
      </w:r>
      <w:r>
        <w:t>GEFs</w:t>
      </w:r>
      <w:r>
        <w:rPr>
          <w:spacing w:val="9"/>
        </w:rPr>
        <w:t>).</w:t>
      </w:r>
    </w:p>
    <w:p w14:paraId="14110DA0">
      <w:pPr>
        <w:pStyle w:val="2"/>
        <w:spacing w:before="119" w:line="327" w:lineRule="auto"/>
        <w:ind w:left="555" w:right="378" w:hanging="3"/>
      </w:pPr>
      <w:r>
        <w:rPr>
          <w:b/>
          <w:bCs/>
          <w:spacing w:val="5"/>
        </w:rPr>
        <w:t xml:space="preserve">Immunogen: </w:t>
      </w:r>
      <w:r>
        <w:rPr>
          <w:spacing w:val="5"/>
        </w:rPr>
        <w:t>Recombinant full length</w:t>
      </w:r>
      <w:r>
        <w:rPr>
          <w:spacing w:val="4"/>
        </w:rPr>
        <w:t xml:space="preserve"> protein of</w:t>
      </w:r>
      <w:r>
        <w:t xml:space="preserve"> active</w:t>
      </w:r>
      <w:r>
        <w:rPr>
          <w:spacing w:val="18"/>
        </w:rPr>
        <w:t xml:space="preserve"> </w:t>
      </w:r>
      <w:r>
        <w:t>Rac</w:t>
      </w:r>
      <w:r>
        <w:rPr>
          <w:spacing w:val="18"/>
        </w:rPr>
        <w:t>1</w:t>
      </w:r>
    </w:p>
    <w:p w14:paraId="19F64A9D">
      <w:pPr>
        <w:pStyle w:val="2"/>
        <w:spacing w:before="2" w:line="326" w:lineRule="auto"/>
        <w:ind w:left="552" w:right="2066" w:firstLine="3"/>
      </w:pPr>
      <w:r>
        <w:rPr>
          <w:b/>
          <w:bCs/>
        </w:rPr>
        <w:t>Tested</w:t>
      </w:r>
      <w:r>
        <w:rPr>
          <w:b/>
          <w:bCs/>
          <w:spacing w:val="16"/>
          <w:w w:val="101"/>
        </w:rPr>
        <w:t xml:space="preserve"> </w:t>
      </w:r>
      <w:r>
        <w:rPr>
          <w:b/>
          <w:bCs/>
        </w:rPr>
        <w:t>applications</w:t>
      </w:r>
      <w:r>
        <w:rPr>
          <w:b/>
          <w:bCs/>
          <w:spacing w:val="11"/>
        </w:rPr>
        <w:t xml:space="preserve">: </w:t>
      </w:r>
      <w:r>
        <w:t>IP</w:t>
      </w:r>
      <w:r>
        <w:rPr>
          <w:spacing w:val="11"/>
        </w:rPr>
        <w:t xml:space="preserve">, </w:t>
      </w:r>
      <w:r>
        <w:t xml:space="preserve">IHC </w:t>
      </w:r>
      <w:r>
        <w:rPr>
          <w:b/>
          <w:bCs/>
          <w:spacing w:val="4"/>
        </w:rPr>
        <w:t>Recommended dilutions:</w:t>
      </w:r>
    </w:p>
    <w:p w14:paraId="6BC377D9">
      <w:pPr>
        <w:pStyle w:val="2"/>
        <w:spacing w:line="306" w:lineRule="auto"/>
        <w:ind w:left="556" w:right="1321" w:firstLine="16"/>
      </w:pPr>
      <w:r>
        <w:rPr>
          <w:spacing w:val="6"/>
        </w:rPr>
        <w:t>1</w:t>
      </w:r>
      <w:r>
        <w:rPr>
          <w:spacing w:val="22"/>
          <w:w w:val="101"/>
        </w:rPr>
        <w:t xml:space="preserve"> </w:t>
      </w:r>
      <w:r>
        <w:rPr>
          <w:rFonts w:ascii="Arial" w:hAnsi="Arial" w:eastAsia="Arial" w:cs="Arial"/>
          <w:spacing w:val="6"/>
        </w:rPr>
        <w:t>μ</w:t>
      </w:r>
      <w:r>
        <w:t>g</w:t>
      </w:r>
      <w:r>
        <w:rPr>
          <w:spacing w:val="6"/>
        </w:rPr>
        <w:t xml:space="preserve"> </w:t>
      </w:r>
      <w:r>
        <w:t>for</w:t>
      </w:r>
      <w:r>
        <w:rPr>
          <w:spacing w:val="18"/>
          <w:w w:val="101"/>
        </w:rPr>
        <w:t xml:space="preserve"> </w:t>
      </w:r>
      <w:r>
        <w:rPr>
          <w:spacing w:val="6"/>
        </w:rPr>
        <w:t xml:space="preserve">1~2 </w:t>
      </w:r>
      <w:r>
        <w:t>mg</w:t>
      </w:r>
      <w:r>
        <w:rPr>
          <w:spacing w:val="6"/>
        </w:rPr>
        <w:t xml:space="preserve"> </w:t>
      </w:r>
      <w:r>
        <w:t>total</w:t>
      </w:r>
      <w:r>
        <w:rPr>
          <w:spacing w:val="21"/>
        </w:rPr>
        <w:t xml:space="preserve"> </w:t>
      </w:r>
      <w:r>
        <w:t>cellular</w:t>
      </w:r>
      <w:r>
        <w:rPr>
          <w:spacing w:val="6"/>
        </w:rPr>
        <w:t xml:space="preserve"> </w:t>
      </w:r>
      <w:r>
        <w:t xml:space="preserve">proteins </w:t>
      </w:r>
      <w:r>
        <w:rPr>
          <w:b/>
          <w:bCs/>
        </w:rPr>
        <w:t>Concentration</w:t>
      </w:r>
      <w:r>
        <w:rPr>
          <w:b/>
          <w:bCs/>
          <w:spacing w:val="15"/>
        </w:rPr>
        <w:t>:</w:t>
      </w:r>
      <w:r>
        <w:rPr>
          <w:b/>
          <w:bCs/>
          <w:spacing w:val="27"/>
          <w:w w:val="101"/>
        </w:rPr>
        <w:t xml:space="preserve"> </w:t>
      </w:r>
      <w:r>
        <w:rPr>
          <w:spacing w:val="15"/>
        </w:rPr>
        <w:t xml:space="preserve">1 </w:t>
      </w:r>
      <w:r>
        <w:t>mg</w:t>
      </w:r>
      <w:r>
        <w:rPr>
          <w:spacing w:val="15"/>
        </w:rPr>
        <w:t>/</w:t>
      </w:r>
      <w:r>
        <w:t>ml</w:t>
      </w:r>
    </w:p>
    <w:p w14:paraId="7E042D77">
      <w:pPr>
        <w:pStyle w:val="2"/>
        <w:spacing w:before="33"/>
        <w:ind w:left="552"/>
      </w:pPr>
      <w:r>
        <w:rPr>
          <w:b/>
          <w:bCs/>
          <w:spacing w:val="3"/>
        </w:rPr>
        <w:t xml:space="preserve">Host: </w:t>
      </w:r>
      <w:r>
        <w:rPr>
          <w:spacing w:val="3"/>
        </w:rPr>
        <w:t>mouse</w:t>
      </w:r>
    </w:p>
    <w:p w14:paraId="59D38C49">
      <w:pPr>
        <w:pStyle w:val="2"/>
        <w:spacing w:before="79" w:line="198" w:lineRule="auto"/>
        <w:ind w:left="556"/>
      </w:pPr>
      <w:r>
        <w:rPr>
          <w:b/>
          <w:bCs/>
          <w:spacing w:val="3"/>
        </w:rPr>
        <w:t xml:space="preserve">Clonality: </w:t>
      </w:r>
      <w:r>
        <w:rPr>
          <w:spacing w:val="3"/>
        </w:rPr>
        <w:t>Monoclonal</w:t>
      </w:r>
    </w:p>
    <w:p w14:paraId="28BF5253">
      <w:pPr>
        <w:pStyle w:val="2"/>
        <w:spacing w:before="193" w:line="198" w:lineRule="auto"/>
        <w:ind w:left="552"/>
      </w:pPr>
      <w:r>
        <w:rPr>
          <w:b/>
          <w:bCs/>
          <w:spacing w:val="4"/>
        </w:rPr>
        <w:t xml:space="preserve">Isotype: </w:t>
      </w:r>
      <w:r>
        <w:rPr>
          <w:spacing w:val="4"/>
        </w:rPr>
        <w:t>IgM</w:t>
      </w:r>
    </w:p>
    <w:p w14:paraId="24D3525B">
      <w:pPr>
        <w:pStyle w:val="2"/>
        <w:spacing w:before="139" w:line="198" w:lineRule="auto"/>
        <w:ind w:left="553"/>
      </w:pPr>
      <w:r>
        <w:rPr>
          <w:b/>
          <w:bCs/>
          <w:spacing w:val="3"/>
        </w:rPr>
        <w:t xml:space="preserve">Purity: </w:t>
      </w:r>
      <w:r>
        <w:rPr>
          <w:spacing w:val="3"/>
        </w:rPr>
        <w:t>Purified</w:t>
      </w:r>
      <w:r>
        <w:rPr>
          <w:spacing w:val="12"/>
          <w:w w:val="101"/>
        </w:rPr>
        <w:t xml:space="preserve"> </w:t>
      </w:r>
      <w:r>
        <w:rPr>
          <w:spacing w:val="3"/>
        </w:rPr>
        <w:t>fro</w:t>
      </w:r>
      <w:r>
        <w:rPr>
          <w:spacing w:val="2"/>
        </w:rPr>
        <w:t>m</w:t>
      </w:r>
      <w:r>
        <w:rPr>
          <w:spacing w:val="17"/>
          <w:w w:val="101"/>
        </w:rPr>
        <w:t xml:space="preserve"> </w:t>
      </w:r>
      <w:r>
        <w:rPr>
          <w:spacing w:val="2"/>
        </w:rPr>
        <w:t>ascites</w:t>
      </w:r>
    </w:p>
    <w:p w14:paraId="140E287D">
      <w:pPr>
        <w:pStyle w:val="2"/>
        <w:spacing w:before="119" w:line="316" w:lineRule="auto"/>
        <w:ind w:left="559" w:right="3167" w:hanging="6"/>
      </w:pPr>
      <w:r>
        <w:rPr>
          <w:b/>
          <w:bCs/>
          <w:spacing w:val="3"/>
        </w:rPr>
        <w:t>Format:</w:t>
      </w:r>
      <w:r>
        <w:rPr>
          <w:b/>
          <w:bCs/>
          <w:spacing w:val="18"/>
          <w:w w:val="101"/>
        </w:rPr>
        <w:t xml:space="preserve"> </w:t>
      </w:r>
      <w:r>
        <w:rPr>
          <w:spacing w:val="3"/>
        </w:rPr>
        <w:t>Liquid</w:t>
      </w:r>
      <w:r>
        <w:t xml:space="preserve"> </w:t>
      </w:r>
      <w:r>
        <w:rPr>
          <w:b/>
          <w:bCs/>
          <w:spacing w:val="2"/>
        </w:rPr>
        <w:t>Storage buffer:</w:t>
      </w:r>
    </w:p>
    <w:p w14:paraId="2990DEDE">
      <w:pPr>
        <w:pStyle w:val="2"/>
        <w:spacing w:before="21" w:line="241" w:lineRule="auto"/>
        <w:ind w:left="552"/>
      </w:pPr>
      <w:r>
        <w:rPr>
          <w:spacing w:val="3"/>
        </w:rPr>
        <w:t>Preservative: no</w:t>
      </w:r>
    </w:p>
    <w:p w14:paraId="0E484D37">
      <w:pPr>
        <w:pStyle w:val="2"/>
        <w:spacing w:before="28" w:line="322" w:lineRule="auto"/>
        <w:ind w:left="555" w:right="513"/>
      </w:pPr>
      <w:r>
        <w:t>Constituents</w:t>
      </w:r>
      <w:r>
        <w:rPr>
          <w:spacing w:val="11"/>
        </w:rPr>
        <w:t xml:space="preserve">: </w:t>
      </w:r>
      <w:r>
        <w:t>PBS</w:t>
      </w:r>
      <w:r>
        <w:rPr>
          <w:spacing w:val="11"/>
        </w:rPr>
        <w:t xml:space="preserve"> (</w:t>
      </w:r>
      <w:r>
        <w:t>without</w:t>
      </w:r>
      <w:r>
        <w:rPr>
          <w:spacing w:val="11"/>
        </w:rPr>
        <w:t xml:space="preserve"> </w:t>
      </w:r>
      <w:r>
        <w:t>Mg</w:t>
      </w:r>
      <w:r>
        <w:rPr>
          <w:spacing w:val="11"/>
          <w:position w:val="9"/>
          <w:sz w:val="13"/>
          <w:szCs w:val="13"/>
        </w:rPr>
        <w:t xml:space="preserve">2+  </w:t>
      </w:r>
      <w:r>
        <w:t>and</w:t>
      </w:r>
      <w:r>
        <w:rPr>
          <w:spacing w:val="11"/>
        </w:rPr>
        <w:t xml:space="preserve"> </w:t>
      </w:r>
      <w:r>
        <w:t>Ca</w:t>
      </w:r>
      <w:r>
        <w:rPr>
          <w:spacing w:val="11"/>
          <w:position w:val="9"/>
          <w:sz w:val="13"/>
          <w:szCs w:val="13"/>
        </w:rPr>
        <w:t>2+</w:t>
      </w:r>
      <w:r>
        <w:rPr>
          <w:spacing w:val="11"/>
        </w:rPr>
        <w:t xml:space="preserve">), </w:t>
      </w:r>
      <w:r>
        <w:t>pH</w:t>
      </w:r>
      <w:r>
        <w:rPr>
          <w:spacing w:val="7"/>
        </w:rPr>
        <w:t xml:space="preserve"> </w:t>
      </w:r>
      <w:r>
        <w:rPr>
          <w:spacing w:val="5"/>
        </w:rPr>
        <w:t>7.4,</w:t>
      </w:r>
      <w:r>
        <w:rPr>
          <w:spacing w:val="30"/>
        </w:rPr>
        <w:t xml:space="preserve"> </w:t>
      </w:r>
      <w:r>
        <w:rPr>
          <w:spacing w:val="5"/>
        </w:rPr>
        <w:t xml:space="preserve">150 </w:t>
      </w:r>
      <w:r>
        <w:t>mM</w:t>
      </w:r>
      <w:r>
        <w:rPr>
          <w:spacing w:val="5"/>
        </w:rPr>
        <w:t xml:space="preserve"> </w:t>
      </w:r>
      <w:r>
        <w:t>NaCl</w:t>
      </w:r>
      <w:r>
        <w:rPr>
          <w:spacing w:val="5"/>
        </w:rPr>
        <w:t>,</w:t>
      </w:r>
      <w:r>
        <w:rPr>
          <w:spacing w:val="15"/>
        </w:rPr>
        <w:t xml:space="preserve"> </w:t>
      </w:r>
      <w:r>
        <w:rPr>
          <w:spacing w:val="5"/>
        </w:rPr>
        <w:t xml:space="preserve">50% </w:t>
      </w:r>
      <w:r>
        <w:t>glycerol</w:t>
      </w:r>
    </w:p>
    <w:p w14:paraId="09E41C1C">
      <w:pPr>
        <w:pStyle w:val="2"/>
        <w:spacing w:before="37" w:line="307" w:lineRule="auto"/>
        <w:ind w:left="549" w:right="574" w:firstLine="9"/>
      </w:pPr>
      <w:r>
        <w:rPr>
          <w:b/>
          <w:bCs/>
          <w:spacing w:val="4"/>
        </w:rPr>
        <w:t xml:space="preserve">Species Reactivity: </w:t>
      </w:r>
      <w:r>
        <w:rPr>
          <w:spacing w:val="4"/>
        </w:rPr>
        <w:t>Anti-active Rac1 a</w:t>
      </w:r>
      <w:r>
        <w:rPr>
          <w:spacing w:val="3"/>
        </w:rPr>
        <w:t>ntibody</w:t>
      </w:r>
      <w:r>
        <w:t xml:space="preserve"> </w:t>
      </w:r>
      <w:r>
        <w:rPr>
          <w:spacing w:val="4"/>
        </w:rPr>
        <w:t>recognizes active Rac1</w:t>
      </w:r>
      <w:r>
        <w:rPr>
          <w:spacing w:val="-9"/>
        </w:rPr>
        <w:t xml:space="preserve"> </w:t>
      </w:r>
      <w:r>
        <w:rPr>
          <w:spacing w:val="4"/>
        </w:rPr>
        <w:t>from ver</w:t>
      </w:r>
      <w:r>
        <w:rPr>
          <w:spacing w:val="3"/>
        </w:rPr>
        <w:t>tebrates.</w:t>
      </w:r>
    </w:p>
    <w:p w14:paraId="1377EC8B">
      <w:pPr>
        <w:pStyle w:val="2"/>
        <w:spacing w:before="37" w:line="261" w:lineRule="auto"/>
        <w:ind w:left="556" w:right="884" w:firstLine="2"/>
      </w:pPr>
      <w:r>
        <w:rPr>
          <w:b/>
          <w:bCs/>
        </w:rPr>
        <w:t>Storage</w:t>
      </w:r>
      <w:r>
        <w:rPr>
          <w:b/>
          <w:bCs/>
          <w:spacing w:val="6"/>
        </w:rPr>
        <w:t xml:space="preserve"> </w:t>
      </w:r>
      <w:r>
        <w:rPr>
          <w:b/>
          <w:bCs/>
        </w:rPr>
        <w:t>Conditions</w:t>
      </w:r>
      <w:r>
        <w:rPr>
          <w:b/>
          <w:bCs/>
          <w:spacing w:val="6"/>
        </w:rPr>
        <w:t>:</w:t>
      </w:r>
      <w:r>
        <w:rPr>
          <w:b/>
          <w:bCs/>
          <w:spacing w:val="33"/>
        </w:rPr>
        <w:t xml:space="preserve"> </w:t>
      </w:r>
      <w:r>
        <w:t>Store</w:t>
      </w:r>
      <w:r>
        <w:rPr>
          <w:spacing w:val="23"/>
        </w:rPr>
        <w:t xml:space="preserve"> </w:t>
      </w:r>
      <w:r>
        <w:t>at</w:t>
      </w:r>
      <w:r>
        <w:rPr>
          <w:spacing w:val="16"/>
          <w:w w:val="101"/>
        </w:rPr>
        <w:t xml:space="preserve"> </w:t>
      </w:r>
      <w:r>
        <w:rPr>
          <w:spacing w:val="6"/>
        </w:rPr>
        <w:t xml:space="preserve">-20°C. </w:t>
      </w:r>
      <w:r>
        <w:t xml:space="preserve">Avoid </w:t>
      </w:r>
      <w:r>
        <w:rPr>
          <w:spacing w:val="3"/>
        </w:rPr>
        <w:t>freeze / thaw cycles</w:t>
      </w:r>
    </w:p>
    <w:p w14:paraId="14F8B55B"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 w14:paraId="76F1CA0B">
      <w:pPr>
        <w:spacing w:line="374" w:lineRule="auto"/>
        <w:rPr>
          <w:rFonts w:ascii="Arial"/>
          <w:sz w:val="21"/>
        </w:rPr>
      </w:pPr>
    </w:p>
    <w:p w14:paraId="24A67614">
      <w:pPr>
        <w:pStyle w:val="2"/>
        <w:spacing w:before="58" w:line="195" w:lineRule="auto"/>
        <w:ind w:left="4"/>
      </w:pPr>
      <w:r>
        <w:rPr>
          <w:b/>
          <w:bCs/>
          <w:spacing w:val="4"/>
        </w:rPr>
        <w:t>Immunoprecipitation</w:t>
      </w:r>
      <w:r>
        <w:rPr>
          <w:b/>
          <w:bCs/>
          <w:spacing w:val="16"/>
        </w:rPr>
        <w:t xml:space="preserve"> </w:t>
      </w:r>
      <w:r>
        <w:rPr>
          <w:b/>
          <w:bCs/>
          <w:spacing w:val="4"/>
        </w:rPr>
        <w:t>an</w:t>
      </w:r>
      <w:r>
        <w:rPr>
          <w:b/>
          <w:bCs/>
          <w:spacing w:val="3"/>
        </w:rPr>
        <w:t>d Western blot:</w:t>
      </w:r>
    </w:p>
    <w:p w14:paraId="6846FA82">
      <w:pPr>
        <w:spacing w:before="170" w:line="4860" w:lineRule="exact"/>
        <w:ind w:firstLine="774"/>
      </w:pPr>
      <w:bookmarkStart w:id="0" w:name="_GoBack"/>
      <w:r>
        <w:rPr>
          <w:position w:val="-97"/>
        </w:rPr>
        <w:drawing>
          <wp:inline distT="0" distB="0" distL="0" distR="0">
            <wp:extent cx="1534795" cy="3086100"/>
            <wp:effectExtent l="0" t="0" r="0" b="0"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535429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7029B074">
      <w:pPr>
        <w:spacing w:line="460" w:lineRule="auto"/>
        <w:rPr>
          <w:rFonts w:ascii="Arial"/>
          <w:sz w:val="21"/>
        </w:rPr>
      </w:pPr>
    </w:p>
    <w:p w14:paraId="2C4A6A2F">
      <w:pPr>
        <w:pStyle w:val="2"/>
        <w:spacing w:before="58" w:line="198" w:lineRule="auto"/>
        <w:ind w:left="3"/>
      </w:pPr>
      <w:r>
        <w:rPr>
          <w:spacing w:val="3"/>
        </w:rPr>
        <w:t>Rac</w:t>
      </w:r>
      <w:r>
        <w:rPr>
          <w:spacing w:val="17"/>
          <w:w w:val="101"/>
        </w:rPr>
        <w:t xml:space="preserve"> </w:t>
      </w:r>
      <w:r>
        <w:rPr>
          <w:spacing w:val="3"/>
        </w:rPr>
        <w:t>activation assay.    MEF</w:t>
      </w:r>
      <w:r>
        <w:rPr>
          <w:spacing w:val="13"/>
          <w:w w:val="101"/>
        </w:rPr>
        <w:t xml:space="preserve"> </w:t>
      </w:r>
      <w:r>
        <w:rPr>
          <w:spacing w:val="3"/>
        </w:rPr>
        <w:t>cel</w:t>
      </w:r>
      <w:r>
        <w:rPr>
          <w:spacing w:val="2"/>
        </w:rPr>
        <w:t>ls</w:t>
      </w:r>
      <w:r>
        <w:rPr>
          <w:spacing w:val="13"/>
          <w:w w:val="101"/>
        </w:rPr>
        <w:t xml:space="preserve"> </w:t>
      </w:r>
      <w:r>
        <w:rPr>
          <w:spacing w:val="2"/>
        </w:rPr>
        <w:t>were treated</w:t>
      </w:r>
    </w:p>
    <w:p w14:paraId="2976C14D">
      <w:pPr>
        <w:pStyle w:val="2"/>
        <w:spacing w:before="127" w:line="199" w:lineRule="auto"/>
        <w:ind w:left="1"/>
      </w:pPr>
      <w:r>
        <w:t>with</w:t>
      </w:r>
      <w:r>
        <w:rPr>
          <w:spacing w:val="7"/>
        </w:rPr>
        <w:t xml:space="preserve"> (</w:t>
      </w:r>
      <w:r>
        <w:t>lane</w:t>
      </w:r>
      <w:r>
        <w:rPr>
          <w:spacing w:val="7"/>
        </w:rPr>
        <w:t xml:space="preserve"> 2)</w:t>
      </w:r>
      <w:r>
        <w:rPr>
          <w:spacing w:val="20"/>
          <w:w w:val="101"/>
        </w:rPr>
        <w:t xml:space="preserve"> </w:t>
      </w:r>
      <w:r>
        <w:t>or</w:t>
      </w:r>
      <w:r>
        <w:rPr>
          <w:spacing w:val="7"/>
        </w:rPr>
        <w:t xml:space="preserve"> </w:t>
      </w:r>
      <w:r>
        <w:t>without</w:t>
      </w:r>
      <w:r>
        <w:rPr>
          <w:spacing w:val="7"/>
        </w:rPr>
        <w:t xml:space="preserve"> (</w:t>
      </w:r>
      <w:r>
        <w:t>lane</w:t>
      </w:r>
      <w:r>
        <w:rPr>
          <w:spacing w:val="25"/>
          <w:w w:val="101"/>
        </w:rPr>
        <w:t xml:space="preserve"> </w:t>
      </w:r>
      <w:r>
        <w:rPr>
          <w:spacing w:val="7"/>
        </w:rPr>
        <w:t>1)</w:t>
      </w:r>
      <w:r>
        <w:rPr>
          <w:spacing w:val="13"/>
        </w:rPr>
        <w:t xml:space="preserve"> </w:t>
      </w:r>
      <w:r>
        <w:t>PDGF</w:t>
      </w:r>
      <w:r>
        <w:rPr>
          <w:spacing w:val="7"/>
        </w:rPr>
        <w:t>.</w:t>
      </w:r>
      <w:r>
        <w:rPr>
          <w:spacing w:val="5"/>
        </w:rPr>
        <w:t xml:space="preserve">    </w:t>
      </w:r>
      <w:r>
        <w:t>Cell</w:t>
      </w:r>
    </w:p>
    <w:p w14:paraId="0F2FFD36">
      <w:pPr>
        <w:pStyle w:val="2"/>
        <w:spacing w:before="119" w:line="198" w:lineRule="auto"/>
        <w:ind w:left="6"/>
      </w:pPr>
      <w:r>
        <w:rPr>
          <w:spacing w:val="3"/>
        </w:rPr>
        <w:t>lysates were incubated with</w:t>
      </w:r>
      <w:r>
        <w:rPr>
          <w:spacing w:val="26"/>
          <w:w w:val="101"/>
        </w:rPr>
        <w:t xml:space="preserve"> </w:t>
      </w:r>
      <w:r>
        <w:rPr>
          <w:spacing w:val="3"/>
        </w:rPr>
        <w:t>an</w:t>
      </w:r>
      <w:r>
        <w:rPr>
          <w:spacing w:val="11"/>
        </w:rPr>
        <w:t xml:space="preserve"> </w:t>
      </w:r>
      <w:r>
        <w:rPr>
          <w:spacing w:val="3"/>
        </w:rPr>
        <w:t>anti-active</w:t>
      </w:r>
      <w:r>
        <w:rPr>
          <w:spacing w:val="12"/>
          <w:w w:val="101"/>
        </w:rPr>
        <w:t xml:space="preserve"> </w:t>
      </w:r>
      <w:r>
        <w:rPr>
          <w:spacing w:val="3"/>
        </w:rPr>
        <w:t>Rac</w:t>
      </w:r>
    </w:p>
    <w:p w14:paraId="44012B36">
      <w:pPr>
        <w:pStyle w:val="2"/>
        <w:spacing w:before="119" w:line="321" w:lineRule="auto"/>
        <w:ind w:right="770" w:firstLine="1"/>
      </w:pPr>
      <w:r>
        <w:t>monoclonal</w:t>
      </w:r>
      <w:r>
        <w:rPr>
          <w:spacing w:val="10"/>
        </w:rPr>
        <w:t xml:space="preserve"> </w:t>
      </w:r>
      <w:r>
        <w:t>antibody</w:t>
      </w:r>
      <w:r>
        <w:rPr>
          <w:spacing w:val="10"/>
        </w:rPr>
        <w:t xml:space="preserve"> (</w:t>
      </w:r>
      <w:r>
        <w:t>Cat</w:t>
      </w:r>
      <w:r>
        <w:rPr>
          <w:spacing w:val="10"/>
        </w:rPr>
        <w:t xml:space="preserve"> # 26903) (</w:t>
      </w:r>
      <w:r>
        <w:t>top</w:t>
      </w:r>
      <w:r>
        <w:rPr>
          <w:spacing w:val="10"/>
        </w:rPr>
        <w:t xml:space="preserve"> </w:t>
      </w:r>
      <w:r>
        <w:t>panel</w:t>
      </w:r>
      <w:r>
        <w:rPr>
          <w:spacing w:val="10"/>
        </w:rPr>
        <w:t>).</w:t>
      </w:r>
      <w:r>
        <w:rPr>
          <w:spacing w:val="2"/>
        </w:rPr>
        <w:t xml:space="preserve">   </w:t>
      </w:r>
      <w:r>
        <w:rPr>
          <w:spacing w:val="4"/>
        </w:rPr>
        <w:t>The precipitated active Rac was immunoblotted</w:t>
      </w:r>
      <w:r>
        <w:t xml:space="preserve">   </w:t>
      </w:r>
      <w:r>
        <w:rPr>
          <w:spacing w:val="4"/>
        </w:rPr>
        <w:t>with an anti-Rac ra</w:t>
      </w:r>
      <w:r>
        <w:rPr>
          <w:spacing w:val="3"/>
        </w:rPr>
        <w:t>bbit polyclonal</w:t>
      </w:r>
      <w:r>
        <w:rPr>
          <w:spacing w:val="21"/>
          <w:w w:val="101"/>
        </w:rPr>
        <w:t xml:space="preserve"> </w:t>
      </w:r>
      <w:r>
        <w:rPr>
          <w:spacing w:val="3"/>
        </w:rPr>
        <w:t>antibody (Cat</w:t>
      </w:r>
      <w:r>
        <w:t xml:space="preserve">  </w:t>
      </w:r>
      <w:r>
        <w:rPr>
          <w:spacing w:val="9"/>
        </w:rPr>
        <w:t xml:space="preserve"># 21003).    </w:t>
      </w:r>
      <w:r>
        <w:t>The</w:t>
      </w:r>
      <w:r>
        <w:rPr>
          <w:spacing w:val="9"/>
        </w:rPr>
        <w:t xml:space="preserve"> </w:t>
      </w:r>
      <w:r>
        <w:t>bottom</w:t>
      </w:r>
      <w:r>
        <w:rPr>
          <w:spacing w:val="9"/>
        </w:rPr>
        <w:t xml:space="preserve"> </w:t>
      </w:r>
      <w:r>
        <w:t>panel</w:t>
      </w:r>
      <w:r>
        <w:rPr>
          <w:spacing w:val="9"/>
        </w:rPr>
        <w:t xml:space="preserve"> </w:t>
      </w:r>
      <w:r>
        <w:t>shows</w:t>
      </w:r>
      <w:r>
        <w:rPr>
          <w:spacing w:val="9"/>
        </w:rPr>
        <w:t xml:space="preserve"> </w:t>
      </w:r>
      <w:r>
        <w:t>the</w:t>
      </w:r>
      <w:r>
        <w:rPr>
          <w:spacing w:val="9"/>
        </w:rPr>
        <w:t xml:space="preserve"> </w:t>
      </w:r>
      <w:r>
        <w:t>Western</w:t>
      </w:r>
      <w:r>
        <w:rPr>
          <w:spacing w:val="2"/>
        </w:rPr>
        <w:t xml:space="preserve"> </w:t>
      </w:r>
      <w:r>
        <w:rPr>
          <w:spacing w:val="4"/>
        </w:rPr>
        <w:t>blot with anti-Rac of</w:t>
      </w:r>
      <w:r>
        <w:rPr>
          <w:spacing w:val="-12"/>
        </w:rPr>
        <w:t xml:space="preserve"> </w:t>
      </w:r>
      <w:r>
        <w:rPr>
          <w:spacing w:val="4"/>
        </w:rPr>
        <w:t>the</w:t>
      </w:r>
      <w:r>
        <w:rPr>
          <w:spacing w:val="15"/>
          <w:w w:val="101"/>
        </w:rPr>
        <w:t xml:space="preserve"> </w:t>
      </w:r>
      <w:r>
        <w:rPr>
          <w:spacing w:val="4"/>
        </w:rPr>
        <w:t>cell lysates</w:t>
      </w:r>
      <w:r>
        <w:rPr>
          <w:spacing w:val="6"/>
        </w:rPr>
        <w:t xml:space="preserve"> </w:t>
      </w:r>
      <w:r>
        <w:rPr>
          <w:spacing w:val="4"/>
        </w:rPr>
        <w:t>used</w:t>
      </w:r>
      <w:r>
        <w:rPr>
          <w:spacing w:val="5"/>
        </w:rPr>
        <w:t xml:space="preserve"> </w:t>
      </w:r>
      <w:r>
        <w:rPr>
          <w:spacing w:val="4"/>
        </w:rPr>
        <w:t>(5%</w:t>
      </w:r>
      <w:r>
        <w:rPr>
          <w:spacing w:val="13"/>
          <w:w w:val="101"/>
        </w:rPr>
        <w:t xml:space="preserve"> </w:t>
      </w:r>
      <w:r>
        <w:rPr>
          <w:spacing w:val="4"/>
        </w:rPr>
        <w:t>of</w:t>
      </w:r>
      <w:r>
        <w:t xml:space="preserve"> </w:t>
      </w:r>
      <w:r>
        <w:rPr>
          <w:spacing w:val="3"/>
        </w:rPr>
        <w:t>that used in the</w:t>
      </w:r>
      <w:r>
        <w:rPr>
          <w:spacing w:val="27"/>
        </w:rPr>
        <w:t xml:space="preserve"> </w:t>
      </w:r>
      <w:r>
        <w:rPr>
          <w:spacing w:val="3"/>
        </w:rPr>
        <w:t>top panel).</w:t>
      </w:r>
    </w:p>
    <w:p w14:paraId="483E564B">
      <w:pPr>
        <w:spacing w:line="321" w:lineRule="auto"/>
        <w:sectPr>
          <w:type w:val="continuous"/>
          <w:pgSz w:w="11909" w:h="16841"/>
          <w:pgMar w:top="2405" w:right="598" w:bottom="2074" w:left="1252" w:header="850" w:footer="999" w:gutter="0"/>
          <w:cols w:equalWidth="0" w:num="2">
            <w:col w:w="5074" w:space="100"/>
            <w:col w:w="4885"/>
          </w:cols>
        </w:sectPr>
      </w:pPr>
    </w:p>
    <w:p w14:paraId="34753EA2">
      <w:pPr>
        <w:spacing w:line="266" w:lineRule="auto"/>
        <w:rPr>
          <w:rFonts w:ascii="Arial"/>
          <w:sz w:val="21"/>
        </w:rPr>
      </w:pPr>
    </w:p>
    <w:p w14:paraId="23EBA9B0">
      <w:pPr>
        <w:spacing w:line="266" w:lineRule="auto"/>
        <w:rPr>
          <w:rFonts w:ascii="Arial"/>
          <w:sz w:val="21"/>
        </w:rPr>
      </w:pPr>
    </w:p>
    <w:p w14:paraId="2AC635CC">
      <w:pPr>
        <w:spacing w:line="266" w:lineRule="auto"/>
        <w:rPr>
          <w:rFonts w:ascii="Arial"/>
          <w:sz w:val="21"/>
        </w:rPr>
      </w:pPr>
    </w:p>
    <w:p w14:paraId="1A4C557C">
      <w:pPr>
        <w:spacing w:line="267" w:lineRule="auto"/>
        <w:rPr>
          <w:rFonts w:ascii="Arial"/>
          <w:sz w:val="21"/>
        </w:rPr>
      </w:pPr>
    </w:p>
    <w:p w14:paraId="733B6728">
      <w:pPr>
        <w:pStyle w:val="2"/>
        <w:spacing w:before="58" w:line="195" w:lineRule="auto"/>
        <w:ind w:left="18"/>
      </w:pPr>
      <w:r>
        <w:rPr>
          <w:b/>
          <w:bCs/>
          <w:spacing w:val="4"/>
        </w:rPr>
        <w:t>Immunohistochemistry:</w:t>
      </w:r>
    </w:p>
    <w:p w14:paraId="576C5CEE">
      <w:pPr>
        <w:spacing w:line="411" w:lineRule="auto"/>
        <w:rPr>
          <w:rFonts w:ascii="Arial"/>
          <w:sz w:val="21"/>
        </w:rPr>
      </w:pPr>
    </w:p>
    <w:p w14:paraId="5D759A70">
      <w:pPr>
        <w:spacing w:line="3931" w:lineRule="exact"/>
        <w:ind w:firstLine="13"/>
      </w:pPr>
      <w:r>
        <w:rPr>
          <w:position w:val="-78"/>
        </w:rPr>
        <w:drawing>
          <wp:inline distT="0" distB="0" distL="0" distR="0">
            <wp:extent cx="2665095" cy="2495550"/>
            <wp:effectExtent l="0" t="0" r="0" b="0"/>
            <wp:docPr id="6" name="IM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 6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665729" cy="24961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E35FA9">
      <w:pPr>
        <w:spacing w:line="396" w:lineRule="auto"/>
        <w:rPr>
          <w:rFonts w:ascii="Arial"/>
          <w:sz w:val="21"/>
        </w:rPr>
      </w:pPr>
    </w:p>
    <w:p w14:paraId="6AFE4DFF">
      <w:pPr>
        <w:pStyle w:val="2"/>
        <w:spacing w:before="57" w:line="198" w:lineRule="auto"/>
        <w:ind w:left="19"/>
      </w:pPr>
      <w:r>
        <w:rPr>
          <w:spacing w:val="4"/>
        </w:rPr>
        <w:t>Immunohistochemistry for the</w:t>
      </w:r>
      <w:r>
        <w:rPr>
          <w:spacing w:val="16"/>
          <w:w w:val="101"/>
        </w:rPr>
        <w:t xml:space="preserve"> </w:t>
      </w:r>
      <w:r>
        <w:rPr>
          <w:spacing w:val="3"/>
        </w:rPr>
        <w:t>active Rac using</w:t>
      </w:r>
    </w:p>
    <w:p w14:paraId="27B3C7A9">
      <w:pPr>
        <w:pStyle w:val="2"/>
        <w:spacing w:before="126" w:line="196" w:lineRule="auto"/>
        <w:ind w:left="16"/>
      </w:pPr>
      <w:r>
        <w:rPr>
          <w:spacing w:val="4"/>
        </w:rPr>
        <w:t>Anti-Active Rac1-GTP Mouse Monoclonal</w:t>
      </w:r>
    </w:p>
    <w:p w14:paraId="5E39EB08">
      <w:pPr>
        <w:pStyle w:val="2"/>
        <w:spacing w:before="123" w:line="198" w:lineRule="auto"/>
        <w:ind w:left="16"/>
      </w:pPr>
      <w:r>
        <w:t>Antibody</w:t>
      </w:r>
      <w:r>
        <w:rPr>
          <w:spacing w:val="11"/>
        </w:rPr>
        <w:t xml:space="preserve"> [26903] </w:t>
      </w:r>
      <w:r>
        <w:t>shows</w:t>
      </w:r>
      <w:r>
        <w:rPr>
          <w:spacing w:val="11"/>
        </w:rPr>
        <w:t xml:space="preserve"> </w:t>
      </w:r>
      <w:r>
        <w:t>Rac</w:t>
      </w:r>
      <w:r>
        <w:rPr>
          <w:spacing w:val="11"/>
        </w:rPr>
        <w:t>-</w:t>
      </w:r>
      <w:r>
        <w:t>GTP</w:t>
      </w:r>
    </w:p>
    <w:p w14:paraId="2D09F766">
      <w:pPr>
        <w:pStyle w:val="2"/>
        <w:spacing w:before="120" w:line="198" w:lineRule="auto"/>
        <w:ind w:left="20"/>
      </w:pPr>
      <w:r>
        <w:rPr>
          <w:spacing w:val="4"/>
        </w:rPr>
        <w:t>immunolabeling (green) in combination with</w:t>
      </w:r>
    </w:p>
    <w:p w14:paraId="0DFD3D3D">
      <w:pPr>
        <w:pStyle w:val="2"/>
        <w:spacing w:before="126" w:line="199" w:lineRule="auto"/>
        <w:ind w:left="21"/>
      </w:pPr>
      <w:r>
        <w:rPr>
          <w:spacing w:val="3"/>
        </w:rPr>
        <w:t>cofilin (red)</w:t>
      </w:r>
      <w:r>
        <w:rPr>
          <w:spacing w:val="24"/>
        </w:rPr>
        <w:t xml:space="preserve"> </w:t>
      </w:r>
      <w:r>
        <w:rPr>
          <w:spacing w:val="3"/>
        </w:rPr>
        <w:t>on brain tissue sections. The tissue</w:t>
      </w:r>
    </w:p>
    <w:p w14:paraId="7DA0751C">
      <w:pPr>
        <w:pStyle w:val="2"/>
        <w:spacing w:before="118" w:line="319" w:lineRule="auto"/>
        <w:ind w:left="14" w:right="4129" w:firstLine="10"/>
      </w:pPr>
      <w:r>
        <w:t>sections</w:t>
      </w:r>
      <w:r>
        <w:rPr>
          <w:spacing w:val="11"/>
        </w:rPr>
        <w:t xml:space="preserve"> </w:t>
      </w:r>
      <w:r>
        <w:t>were</w:t>
      </w:r>
      <w:r>
        <w:rPr>
          <w:spacing w:val="27"/>
        </w:rPr>
        <w:t xml:space="preserve"> </w:t>
      </w:r>
      <w:r>
        <w:t>fixed</w:t>
      </w:r>
      <w:r>
        <w:rPr>
          <w:spacing w:val="11"/>
        </w:rPr>
        <w:t xml:space="preserve"> </w:t>
      </w:r>
      <w:r>
        <w:t>with</w:t>
      </w:r>
      <w:r>
        <w:rPr>
          <w:spacing w:val="15"/>
          <w:w w:val="101"/>
        </w:rPr>
        <w:t xml:space="preserve"> </w:t>
      </w:r>
      <w:r>
        <w:rPr>
          <w:spacing w:val="11"/>
        </w:rPr>
        <w:t>-20 º</w:t>
      </w:r>
      <w:r>
        <w:t>C</w:t>
      </w:r>
      <w:r>
        <w:rPr>
          <w:spacing w:val="11"/>
        </w:rPr>
        <w:t xml:space="preserve"> </w:t>
      </w:r>
      <w:r>
        <w:t>methanol</w:t>
      </w:r>
      <w:r>
        <w:rPr>
          <w:spacing w:val="11"/>
        </w:rPr>
        <w:t xml:space="preserve"> </w:t>
      </w:r>
      <w:r>
        <w:t>or</w:t>
      </w:r>
      <w:r>
        <w:rPr>
          <w:spacing w:val="11"/>
        </w:rPr>
        <w:t xml:space="preserve"> 4%</w:t>
      </w:r>
      <w:r>
        <w:t xml:space="preserve">    </w:t>
      </w:r>
      <w:r>
        <w:rPr>
          <w:spacing w:val="3"/>
        </w:rPr>
        <w:t>paraformaldehyde (fixation time</w:t>
      </w:r>
      <w:r>
        <w:rPr>
          <w:spacing w:val="32"/>
          <w:w w:val="101"/>
        </w:rPr>
        <w:t xml:space="preserve"> </w:t>
      </w:r>
      <w:r>
        <w:rPr>
          <w:spacing w:val="3"/>
        </w:rPr>
        <w:t>1hr)</w:t>
      </w:r>
      <w:r>
        <w:rPr>
          <w:spacing w:val="17"/>
          <w:w w:val="101"/>
        </w:rPr>
        <w:t xml:space="preserve"> </w:t>
      </w:r>
      <w:r>
        <w:rPr>
          <w:spacing w:val="3"/>
        </w:rPr>
        <w:t>and stain</w:t>
      </w:r>
      <w:r>
        <w:rPr>
          <w:spacing w:val="2"/>
        </w:rPr>
        <w:t>ed</w:t>
      </w:r>
      <w:r>
        <w:t xml:space="preserve">  with</w:t>
      </w:r>
      <w:r>
        <w:rPr>
          <w:spacing w:val="11"/>
        </w:rPr>
        <w:t xml:space="preserve"> </w:t>
      </w:r>
      <w:r>
        <w:t>antibody</w:t>
      </w:r>
      <w:r>
        <w:rPr>
          <w:spacing w:val="11"/>
        </w:rPr>
        <w:t xml:space="preserve"> </w:t>
      </w:r>
      <w:r>
        <w:t>at</w:t>
      </w:r>
      <w:r>
        <w:rPr>
          <w:spacing w:val="26"/>
          <w:w w:val="101"/>
        </w:rPr>
        <w:t xml:space="preserve"> </w:t>
      </w:r>
      <w:r>
        <w:rPr>
          <w:spacing w:val="11"/>
        </w:rPr>
        <w:t xml:space="preserve">1:1000 </w:t>
      </w:r>
      <w:r>
        <w:t>in</w:t>
      </w:r>
      <w:r>
        <w:rPr>
          <w:spacing w:val="11"/>
        </w:rPr>
        <w:t xml:space="preserve"> 0.1</w:t>
      </w:r>
      <w:r>
        <w:t>M</w:t>
      </w:r>
      <w:r>
        <w:rPr>
          <w:spacing w:val="11"/>
        </w:rPr>
        <w:t xml:space="preserve"> </w:t>
      </w:r>
      <w:r>
        <w:t>Phosphate</w:t>
      </w:r>
      <w:r>
        <w:rPr>
          <w:spacing w:val="11"/>
        </w:rPr>
        <w:t xml:space="preserve"> </w:t>
      </w:r>
      <w:r>
        <w:t>buffer with</w:t>
      </w:r>
      <w:r>
        <w:rPr>
          <w:spacing w:val="8"/>
        </w:rPr>
        <w:t xml:space="preserve"> 0.3% </w:t>
      </w:r>
      <w:r>
        <w:t>Triton</w:t>
      </w:r>
      <w:r>
        <w:rPr>
          <w:spacing w:val="8"/>
        </w:rPr>
        <w:t xml:space="preserve"> </w:t>
      </w:r>
      <w:r>
        <w:t>X</w:t>
      </w:r>
      <w:r>
        <w:rPr>
          <w:spacing w:val="8"/>
        </w:rPr>
        <w:t xml:space="preserve">, </w:t>
      </w:r>
      <w:r>
        <w:t>and</w:t>
      </w:r>
      <w:r>
        <w:rPr>
          <w:spacing w:val="8"/>
        </w:rPr>
        <w:t xml:space="preserve"> 4% </w:t>
      </w:r>
      <w:r>
        <w:t>BSA</w:t>
      </w:r>
      <w:r>
        <w:rPr>
          <w:spacing w:val="8"/>
        </w:rPr>
        <w:t xml:space="preserve"> </w:t>
      </w:r>
      <w:r>
        <w:t>for</w:t>
      </w:r>
      <w:r>
        <w:rPr>
          <w:spacing w:val="8"/>
        </w:rPr>
        <w:t xml:space="preserve"> 24</w:t>
      </w:r>
      <w:r>
        <w:t>h</w:t>
      </w:r>
      <w:r>
        <w:rPr>
          <w:spacing w:val="27"/>
          <w:w w:val="101"/>
        </w:rPr>
        <w:t xml:space="preserve"> </w:t>
      </w:r>
      <w:r>
        <w:t>at</w:t>
      </w:r>
      <w:r>
        <w:rPr>
          <w:spacing w:val="8"/>
        </w:rPr>
        <w:t xml:space="preserve"> </w:t>
      </w:r>
      <w:r>
        <w:t xml:space="preserve">room </w:t>
      </w:r>
      <w:r>
        <w:rPr>
          <w:spacing w:val="4"/>
        </w:rPr>
        <w:t>temperature. Secondary antibodies we</w:t>
      </w:r>
      <w:r>
        <w:rPr>
          <w:spacing w:val="3"/>
        </w:rPr>
        <w:t>re</w:t>
      </w:r>
    </w:p>
    <w:p w14:paraId="2A762050">
      <w:pPr>
        <w:pStyle w:val="2"/>
        <w:spacing w:before="36" w:line="328" w:lineRule="auto"/>
        <w:ind w:left="16" w:right="4798" w:firstLine="5"/>
      </w:pPr>
      <w:r>
        <w:t>anti</w:t>
      </w:r>
      <w:r>
        <w:rPr>
          <w:spacing w:val="18"/>
        </w:rPr>
        <w:t>-</w:t>
      </w:r>
      <w:r>
        <w:t>mouse</w:t>
      </w:r>
      <w:r>
        <w:rPr>
          <w:spacing w:val="18"/>
        </w:rPr>
        <w:t xml:space="preserve"> </w:t>
      </w:r>
      <w:r>
        <w:t>AlexaFluor</w:t>
      </w:r>
      <w:r>
        <w:rPr>
          <w:spacing w:val="18"/>
        </w:rPr>
        <w:t xml:space="preserve">488 </w:t>
      </w:r>
      <w:r>
        <w:t>and</w:t>
      </w:r>
      <w:r>
        <w:rPr>
          <w:spacing w:val="18"/>
        </w:rPr>
        <w:t xml:space="preserve"> </w:t>
      </w:r>
      <w:r>
        <w:t>anti</w:t>
      </w:r>
      <w:r>
        <w:rPr>
          <w:spacing w:val="18"/>
        </w:rPr>
        <w:t>-</w:t>
      </w:r>
      <w:r>
        <w:t>rabbit AlexaFluor</w:t>
      </w:r>
      <w:r>
        <w:rPr>
          <w:spacing w:val="6"/>
        </w:rPr>
        <w:t xml:space="preserve">594 </w:t>
      </w:r>
      <w:r>
        <w:t>at</w:t>
      </w:r>
      <w:r>
        <w:rPr>
          <w:spacing w:val="35"/>
          <w:w w:val="101"/>
        </w:rPr>
        <w:t xml:space="preserve"> </w:t>
      </w:r>
      <w:r>
        <w:rPr>
          <w:spacing w:val="6"/>
        </w:rPr>
        <w:t>1:1000.</w:t>
      </w:r>
    </w:p>
    <w:sectPr>
      <w:headerReference r:id="rId7" w:type="default"/>
      <w:footerReference r:id="rId8" w:type="default"/>
      <w:pgSz w:w="11909" w:h="16841"/>
      <w:pgMar w:top="400" w:right="1786" w:bottom="400" w:left="1786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4E5A70B">
    <w:pPr>
      <w:spacing w:after="191" w:line="60" w:lineRule="exact"/>
      <w:ind w:firstLine="7"/>
    </w:pPr>
    <w:r>
      <w:rPr>
        <w:position w:val="-1"/>
      </w:rPr>
      <w:pict>
        <v:shape id="_x0000_s2050" o:spid="_x0000_s2050" style="height:3pt;width:502.5pt;" filled="f" stroked="t" coordsize="10050,60" path="m0,30l10050,30e">
          <v:fill on="f" focussize="0,0"/>
          <v:stroke weight="3pt" color="#008000" miterlimit="10"/>
          <v:imagedata o:title=""/>
          <o:lock v:ext="edit"/>
          <w10:wrap type="none"/>
          <w10:anchorlock/>
        </v:shape>
      </w:pict>
    </w:r>
  </w:p>
  <w:p w14:paraId="4518287C">
    <w:pPr>
      <w:pStyle w:val="2"/>
      <w:spacing w:line="184" w:lineRule="auto"/>
      <w:ind w:left="2285"/>
      <w:rPr>
        <w:rFonts w:ascii="Arial" w:hAnsi="Arial" w:eastAsia="Arial" w:cs="Arial"/>
        <w:b w:val="0"/>
        <w:bCs w:val="0"/>
        <w:spacing w:val="-1"/>
        <w:sz w:val="18"/>
        <w:szCs w:val="18"/>
      </w:rPr>
    </w:pPr>
    <w:r>
      <w:rPr>
        <w:rFonts w:ascii="Arial" w:hAnsi="Arial" w:eastAsia="Arial" w:cs="Arial"/>
        <w:b w:val="0"/>
        <w:bCs w:val="0"/>
        <w:spacing w:val="-1"/>
        <w:sz w:val="18"/>
        <w:szCs w:val="18"/>
      </w:rPr>
      <w:t>For research use only.</w:t>
    </w:r>
    <w:r>
      <w:rPr>
        <w:rFonts w:ascii="Arial" w:hAnsi="Arial" w:eastAsia="Arial" w:cs="Arial"/>
        <w:b w:val="0"/>
        <w:bCs w:val="0"/>
        <w:spacing w:val="14"/>
        <w:sz w:val="18"/>
        <w:szCs w:val="18"/>
      </w:rPr>
      <w:t xml:space="preserve"> </w:t>
    </w:r>
    <w:r>
      <w:rPr>
        <w:rFonts w:ascii="Arial" w:hAnsi="Arial" w:eastAsia="Arial" w:cs="Arial"/>
        <w:b w:val="0"/>
        <w:bCs w:val="0"/>
        <w:spacing w:val="-1"/>
        <w:sz w:val="18"/>
        <w:szCs w:val="18"/>
      </w:rPr>
      <w:t>Not for diagnostic</w:t>
    </w:r>
    <w:r>
      <w:rPr>
        <w:rFonts w:ascii="Arial" w:hAnsi="Arial" w:eastAsia="Arial" w:cs="Arial"/>
        <w:b w:val="0"/>
        <w:bCs w:val="0"/>
        <w:spacing w:val="8"/>
        <w:sz w:val="18"/>
        <w:szCs w:val="18"/>
      </w:rPr>
      <w:t xml:space="preserve"> </w:t>
    </w:r>
    <w:r>
      <w:rPr>
        <w:rFonts w:ascii="Arial" w:hAnsi="Arial" w:eastAsia="Arial" w:cs="Arial"/>
        <w:b w:val="0"/>
        <w:bCs w:val="0"/>
        <w:spacing w:val="-1"/>
        <w:sz w:val="18"/>
        <w:szCs w:val="18"/>
      </w:rPr>
      <w:t>or therapeutic</w:t>
    </w:r>
    <w:r>
      <w:rPr>
        <w:rFonts w:ascii="Arial" w:hAnsi="Arial" w:eastAsia="Arial" w:cs="Arial"/>
        <w:b w:val="0"/>
        <w:bCs w:val="0"/>
        <w:spacing w:val="7"/>
        <w:sz w:val="18"/>
        <w:szCs w:val="18"/>
      </w:rPr>
      <w:t xml:space="preserve"> </w:t>
    </w:r>
    <w:r>
      <w:rPr>
        <w:rFonts w:ascii="Arial" w:hAnsi="Arial" w:eastAsia="Arial" w:cs="Arial"/>
        <w:b w:val="0"/>
        <w:bCs w:val="0"/>
        <w:spacing w:val="-1"/>
        <w:sz w:val="18"/>
        <w:szCs w:val="18"/>
      </w:rPr>
      <w:t>applications.</w:t>
    </w:r>
  </w:p>
  <w:p w14:paraId="0C211945">
    <w:pPr>
      <w:pStyle w:val="2"/>
      <w:spacing w:line="184" w:lineRule="auto"/>
      <w:ind w:left="2285"/>
      <w:rPr>
        <w:rFonts w:ascii="Arial" w:hAnsi="Arial" w:eastAsia="Arial" w:cs="Arial"/>
        <w:b w:val="0"/>
        <w:bCs w:val="0"/>
        <w:spacing w:val="-1"/>
        <w:sz w:val="18"/>
        <w:szCs w:val="18"/>
      </w:rPr>
    </w:pPr>
  </w:p>
  <w:p w14:paraId="27AAE3C6">
    <w:pPr>
      <w:numPr>
        <w:ilvl w:val="0"/>
        <w:numId w:val="0"/>
      </w:numPr>
      <w:rPr>
        <w:rFonts w:hint="eastAsia" w:ascii="仿宋" w:hAnsi="仿宋" w:eastAsia="仿宋" w:cs="仿宋"/>
        <w:b w:val="0"/>
        <w:bCs w:val="0"/>
        <w:lang w:val="en-US" w:eastAsia="zh-CN"/>
      </w:rPr>
    </w:pPr>
    <w:r>
      <w:rPr>
        <w:rFonts w:hint="eastAsia" w:ascii="仿宋" w:hAnsi="仿宋" w:eastAsia="仿宋" w:cs="仿宋"/>
        <w:b w:val="0"/>
        <w:bCs w:val="0"/>
      </w:rPr>
      <w:t>Tel: 027-87615885</w:t>
    </w:r>
    <w:r>
      <w:rPr>
        <w:rFonts w:hint="eastAsia" w:ascii="仿宋" w:hAnsi="仿宋" w:eastAsia="仿宋" w:cs="仿宋"/>
        <w:b w:val="0"/>
        <w:bCs w:val="0"/>
        <w:lang w:val="en-US" w:eastAsia="zh-CN"/>
      </w:rPr>
      <w:t xml:space="preserve"> 15972062685    </w:t>
    </w:r>
  </w:p>
  <w:p w14:paraId="1B4A1629">
    <w:pPr>
      <w:numPr>
        <w:ilvl w:val="0"/>
        <w:numId w:val="0"/>
      </w:numPr>
      <w:rPr>
        <w:rFonts w:hint="eastAsia" w:ascii="仿宋" w:hAnsi="仿宋" w:eastAsia="仿宋" w:cs="仿宋"/>
        <w:b w:val="0"/>
        <w:bCs w:val="0"/>
        <w:lang w:val="en-US" w:eastAsia="zh-CN"/>
      </w:rPr>
    </w:pPr>
    <w:r>
      <w:rPr>
        <w:rFonts w:hint="eastAsia" w:ascii="仿宋" w:hAnsi="仿宋" w:eastAsia="仿宋" w:cs="仿宋"/>
        <w:b w:val="0"/>
        <w:bCs w:val="0"/>
        <w:lang w:val="en-US" w:eastAsia="zh-CN"/>
      </w:rPr>
      <w:t>E-mail：</w:t>
    </w:r>
    <w:r>
      <w:rPr>
        <w:rFonts w:hint="eastAsia" w:ascii="仿宋" w:hAnsi="仿宋" w:eastAsia="仿宋" w:cs="仿宋"/>
        <w:b w:val="0"/>
        <w:bCs w:val="0"/>
      </w:rPr>
      <w:t xml:space="preserve">3636901710@qq.com </w:t>
    </w:r>
    <w:r>
      <w:rPr>
        <w:rFonts w:hint="eastAsia" w:ascii="仿宋" w:hAnsi="仿宋" w:eastAsia="仿宋" w:cs="仿宋"/>
        <w:b w:val="0"/>
        <w:bCs w:val="0"/>
        <w:lang w:val="en-US" w:eastAsia="zh-CN"/>
      </w:rPr>
      <w:t xml:space="preserve">  </w:t>
    </w:r>
  </w:p>
  <w:p w14:paraId="260859DA">
    <w:pPr>
      <w:pStyle w:val="2"/>
      <w:spacing w:before="48" w:line="258" w:lineRule="auto"/>
      <w:ind w:left="248" w:right="1489" w:hanging="249"/>
      <w:rPr>
        <w:b w:val="0"/>
        <w:bCs w:val="0"/>
      </w:rPr>
    </w:pPr>
    <w:r>
      <w:rPr>
        <w:rFonts w:hint="eastAsia" w:ascii="仿宋" w:hAnsi="仿宋" w:eastAsia="仿宋" w:cs="仿宋"/>
        <w:b w:val="0"/>
        <w:bCs w:val="0"/>
        <w:lang w:val="en-US" w:eastAsia="zh-CN"/>
      </w:rPr>
      <w:t xml:space="preserve">Web: </w:t>
    </w:r>
    <w:r>
      <w:rPr>
        <w:rFonts w:hint="eastAsia" w:ascii="仿宋" w:hAnsi="仿宋" w:eastAsia="仿宋" w:cs="仿宋"/>
        <w:b w:val="0"/>
        <w:bCs w:val="0"/>
        <w:lang w:val="en-US" w:eastAsia="zh-CN"/>
      </w:rPr>
      <w:fldChar w:fldCharType="begin"/>
    </w:r>
    <w:r>
      <w:rPr>
        <w:rFonts w:hint="eastAsia" w:ascii="仿宋" w:hAnsi="仿宋" w:eastAsia="仿宋" w:cs="仿宋"/>
        <w:b w:val="0"/>
        <w:bCs w:val="0"/>
        <w:lang w:val="en-US" w:eastAsia="zh-CN"/>
      </w:rPr>
      <w:instrText xml:space="preserve"> HYPERLINK "http://www.coburybio.com" </w:instrText>
    </w:r>
    <w:r>
      <w:rPr>
        <w:rFonts w:hint="eastAsia" w:ascii="仿宋" w:hAnsi="仿宋" w:eastAsia="仿宋" w:cs="仿宋"/>
        <w:b w:val="0"/>
        <w:bCs w:val="0"/>
        <w:lang w:val="en-US" w:eastAsia="zh-CN"/>
      </w:rPr>
      <w:fldChar w:fldCharType="separate"/>
    </w:r>
    <w:r>
      <w:rPr>
        <w:rStyle w:val="5"/>
        <w:rFonts w:hint="eastAsia" w:ascii="仿宋" w:hAnsi="仿宋" w:eastAsia="仿宋" w:cs="仿宋"/>
        <w:b w:val="0"/>
        <w:bCs w:val="0"/>
        <w:lang w:val="en-US" w:eastAsia="zh-CN"/>
      </w:rPr>
      <w:t>http://www.coburybio.com</w:t>
    </w:r>
    <w:r>
      <w:rPr>
        <w:rFonts w:hint="eastAsia" w:ascii="仿宋" w:hAnsi="仿宋" w:eastAsia="仿宋" w:cs="仿宋"/>
        <w:b w:val="0"/>
        <w:bCs w:val="0"/>
        <w:lang w:val="en-US" w:eastAsia="zh-CN"/>
      </w:rPr>
      <w:fldChar w:fldCharType="end"/>
    </w:r>
  </w:p>
  <w:p w14:paraId="074B6F63">
    <w:pPr>
      <w:pStyle w:val="2"/>
      <w:spacing w:line="184" w:lineRule="auto"/>
      <w:ind w:left="2285"/>
      <w:rPr>
        <w:rFonts w:ascii="Arial" w:hAnsi="Arial" w:eastAsia="Arial" w:cs="Arial"/>
        <w:b/>
        <w:bCs/>
        <w:spacing w:val="-1"/>
        <w:sz w:val="18"/>
        <w:szCs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872A302">
    <w:pPr>
      <w:spacing w:line="14" w:lineRule="auto"/>
      <w:rPr>
        <w:rFonts w:ascii="Arial"/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09CF3AD">
    <w:pPr>
      <w:spacing w:line="240" w:lineRule="auto"/>
      <w:ind w:firstLine="547"/>
    </w:pPr>
    <w:r>
      <w:rPr>
        <w:rFonts w:hint="eastAsia" w:eastAsia="宋体"/>
        <w:lang w:eastAsia="zh-CN"/>
      </w:rPr>
      <w:drawing>
        <wp:inline distT="0" distB="0" distL="114300" distR="114300">
          <wp:extent cx="810260" cy="754380"/>
          <wp:effectExtent l="0" t="0" r="8890" b="7620"/>
          <wp:docPr id="1" name="图片 1" descr="微信图片_20250812082141_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微信图片_20250812082141_4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10260" cy="7543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position w:val="-2"/>
      </w:rPr>
      <w:pict>
        <v:shape id="_x0000_s2049" o:spid="_x0000_s2049" style="height:3pt;width:502.5pt;" filled="f" stroked="t" coordsize="10050,60" path="m0,30l10050,30e">
          <v:fill on="f" focussize="0,0"/>
          <v:stroke weight="3pt" color="#008000" miterlimit="10"/>
          <v:imagedata o:title=""/>
          <o:lock v:ext="edit"/>
          <w10:wrap type="none"/>
          <w10:anchorlock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58F186">
    <w:pPr>
      <w:spacing w:line="14" w:lineRule="auto"/>
      <w:rPr>
        <w:rFonts w:ascii="Arial"/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documentProtection w:enforcement="0"/>
  <w:characterSpacingControl w:val="doNotCompress"/>
  <w:hdr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02DD5E8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Times New Roman" w:hAnsi="Times New Roman" w:eastAsia="Times New Roman" w:cs="Times New Roman"/>
      <w:sz w:val="20"/>
      <w:szCs w:val="20"/>
      <w:lang w:val="en-US" w:eastAsia="en-US" w:bidi="ar-SA"/>
    </w:rPr>
  </w:style>
  <w:style w:type="character" w:styleId="5">
    <w:name w:val="Hyperlink"/>
    <w:basedOn w:val="4"/>
    <w:uiPriority w:val="0"/>
    <w:rPr>
      <w:color w:val="0000FF"/>
      <w:u w:val="single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2.xml"/><Relationship Id="rId7" Type="http://schemas.openxmlformats.org/officeDocument/2006/relationships/header" Target="head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1.xml"/><Relationship Id="rId11" Type="http://schemas.openxmlformats.org/officeDocument/2006/relationships/image" Target="media/image3.jpeg"/><Relationship Id="rId10" Type="http://schemas.openxmlformats.org/officeDocument/2006/relationships/image" Target="media/image2.jpeg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2049"/>
    <customShpInfo spid="_x0000_s2050"/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299</Words>
  <Characters>1746</Characters>
  <TotalTime>3</TotalTime>
  <ScaleCrop>false</ScaleCrop>
  <LinksUpToDate>false</LinksUpToDate>
  <CharactersWithSpaces>2035</CharactersWithSpaces>
  <Application>WPS Office_12.1.0.21541_F1E327BC-269C-435d-A152-05C5408002CA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2016-04-22T11:16:00Z</dcterms:created>
  <dc:creator>yanhua</dc:creator>
  <cp:lastModifiedBy>周亿福</cp:lastModifiedBy>
  <dcterms:modified xsi:type="dcterms:W3CDTF">2025-08-12T01:16:09Z</dcterms:modified>
  <dc:title>Orai1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wqlLaW5nc29mdCBQREYgdG8gV1BTIDExMA</vt:lpwstr>
  </property>
  <property fmtid="{D5CDD505-2E9C-101B-9397-08002B2CF9AE}" pid="3" name="Created">
    <vt:filetime>2025-08-12T09:11:59Z</vt:filetime>
  </property>
  <property fmtid="{D5CDD505-2E9C-101B-9397-08002B2CF9AE}" pid="4" name="KSOTemplateDocerSaveRecord">
    <vt:lpwstr>eyJoZGlkIjoiZjc1NzRjMTZhODVjOTM0MjFhODkzYzEwNjNiNjY4OTEiLCJ1c2VySWQiOiI2NjU1NzU2NjgifQ==</vt:lpwstr>
  </property>
  <property fmtid="{D5CDD505-2E9C-101B-9397-08002B2CF9AE}" pid="5" name="KSOProductBuildVer">
    <vt:lpwstr>2052-12.1.0.21541</vt:lpwstr>
  </property>
  <property fmtid="{D5CDD505-2E9C-101B-9397-08002B2CF9AE}" pid="6" name="ICV">
    <vt:lpwstr>0E2AAA22566C470184600FA6FCD2F183_12</vt:lpwstr>
  </property>
</Properties>
</file>